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2A.157/2001 vom 11. März 2002</w:t>
      </w:r>
    </w:p>
    <w:p>
      <w:r>
        <w:t>Bundesgericht, 2002-03-11, DE</w:t>
      </w:r>
    </w:p>
    <w:p>
      <w:r>
        <w:rPr>
          <w:b/>
        </w:rPr>
        <w:t xml:space="preserve">Quelle: </w:t>
      </w:r>
      <w:r>
        <w:t>https://mcp.opencaselaw.ch/entscheid/bger_2A.157_2001</w:t>
      </w:r>
    </w:p>
    <w:p>
      <w:r>
        <w:t>FR: TF 2A.157/2001 du 11 mars 2002</w:t>
      </w:r>
    </w:p>
    <w:p>
      <w:r>
        <w:t>IT: TF 2A.157/2001 del 11 marzo 2002</w:t>
      </w:r>
    </w:p>
    <w:p>
      <w:pPr>
        <w:pStyle w:val="Heading2"/>
      </w:pPr>
      <w:r>
        <w:t>Regeste</w:t>
      </w:r>
    </w:p>
    <w:p>
      <w:r>
        <w:t>Öffentliche Finanzen &amp; Abgaberecht</w:t>
      </w:r>
    </w:p>
    <w:p>
      <w:pPr>
        <w:pStyle w:val="Heading2"/>
      </w:pPr>
      <w:r>
        <w:t>Erwägungen</w:t>
      </w:r>
    </w:p>
    <w:p>
      <w:r>
        <w:rPr>
          <w:b/>
        </w:rPr>
        <w:t>E. 1</w:t>
      </w:r>
    </w:p>
    <w:p>
      <w:r>
        <w:t>Der angefochtene Entscheid ist ein auf öffentliches Recht des Bundes gestütztes, letztinstanzliches kantonales Urteil, gegen welches die Verwaltungsgerichtsbeschwerde an das Bundesgericht zulässig ist (Art. 146 des Bundesgesetzes vom 14. Dezember 1990 über die direkte Bundessteuer; DBG; SR 642. 11). Die Eidgenössische Steuerverwaltung ist nach Art. 103 lit. b OG zur Beschwerdeführung legitimiert. Auf die (am 28. März 2001) rechtzeitig eingereichte und den Formerfordernissen ( Art. 108 OG ) entsprechende Beschwerde ist einzutreten.</w:t>
      </w:r>
    </w:p>
    <w:p>
      <w:r>
        <w:rPr>
          <w:b/>
        </w:rPr>
        <w:t>E. 2</w:t>
      </w:r>
    </w:p>
    <w:p>
      <w:r>
        <w:t>a) Gemäss Art. 58 Abs. 1 lit. a DBG bildet der Saldo der Erfolgsrechnung unter Berücksichtigung des Saldovortrags des Vorjahrs Ausgangspunkt für die Bestimmung des steuerbaren Reingewinns. Laut lit. c derselben Bestimmung sind auch die der Erfolgsrechnung nicht gutgeschriebenen Erträge, mit Einschluss der Kapital-, Aufwertungs- und Liquidationsgewinne (vorbehältlich Art. 64 DBG ), unter dem steuerbaren Reingewinn zu erfassen. b) Wer zum Eintrag seines Geschäftsbetriebes im Handelsregister verpflichtet ist, ist gehalten, diejenigen Bücher ordnungsgemäss zu führen, die nach Art und Umfang seines Geschäftes erforderlich sind ( Art. 957 OR ). Auf Schluss des Geschäftsjahres ist ein Inventar, eine Betriebsrechnung und eine Bilanz zu erstellen ( Art. 958 Abs. 1 OR ; für die Aktiengesellschaft: siehe Art. 662a OR ). Die handelsrechtlich erforderlichen Bücher bilden die Grundlage für die steuerliche Gewinnermittlung. Die schweizerische Steuerpraxis knüpft dabei an die handelsrechtliche Bilanz an, welche auch steuerrechtlich verbindlich ist (Massgeblichkeitsprinzip der Handelsbilanz), wenn bei deren Errichtung nicht gegen zwingende Bestimmungen des Handelsrechts verstossen wurde und sofern nicht spezielle steuerrechtliche Vorschriften für die Gewinnermittlung zu beachten sind (Ernst Höhn/Robert Waldburger, Steuerrecht, Band II, 8. Aufl. , Rz 10 f. zu § 37; Francis Cagianut/Ernst Höhn, Unternehmungssteuerrecht,</w:t>
      </w:r>
    </w:p>
    <w:p>
      <w:r>
        <w:rPr>
          <w:b/>
        </w:rPr>
        <w:t>E. 3</w:t>
      </w:r>
    </w:p>
    <w:p>
      <w:r>
        <w:t>Aufl. , Basel/Therwil 2000, 23 u. 134 f.). a) Die streitige Bilanzkorrektur verstösst nicht gegen zwingende handelsrechtliche Höchstbewertungsvorschriften. Grundlegend kann mit Reich (Vorteilszuwendungen, a.a.O., 627) festgehalten werden, dass die Offenlegung einer verdeckten Kapitaleinlage eine Verbreiterung der Eigenkapitalbasis und somit eine Vermögensvermehrung bewirkt, die keine Gläubiger- oder Aktionärsinteressen gefährdet. Das hat insbesondere hier zu gelten, wo die von den Steuerbehörden vorgenommene Festlegung des Verkehrswerts unbestritten und von der Gesellschaft auch in den folgenden Jahren als wirklichkeitsgerecht übernommen worden ist. So ist unter dem Gesichtspunkt des Kapitalschutzes nicht zu befürchten, dass den Gläubigern weniger als das ausgewiesene Haftungssubstrat zur Verfügung stehen könnte, weil Vermögenswerte ausgewiesen worden wären, die in Wirklichkeit gar nicht bestehen. Der Begriff der "Anschaffungskosten" im Sinne von Art. 665/665a, 667 und 670 OR kann sich vernünftigerweise nur auf solche Geschäfte beziehen, die zu Marktbedingungen abgewickelt worden sind. Demgemäss gibt es in der Bilanzierungspraxis Fälle, in denen sich das Niedrigstwertprinzip gar nicht angemessen anwenden lässt, so etwa bei der Schenkung von Aktiven, wo die Verbuchung zu einem vorsichtig ermittelten Verkehrswert zugelassen wird (vgl. Schweizer Handbuch der Wirtschaftsprüfung, a.a.O., Band 1, RZ 2.232, S. 52). Dasselbe kann insbesondere für geldwerte Leistungen zwischen einer Gesellschaft und ihren Anteilsinhabern gelten. Vorliegend wäre es aktienrechtlich denn auch nicht zu beanstanden gewesen, den Beteiligungsverkauf wie unter unbeteiligten Dritten abzuschliessen und die eingebrachten Aktiven zu ihrem Verkehrswert auszuweisen. Wäre eine solche Verbuchung aber zulässig gewesen, so kann sie nicht dadurch handelsrechtswidrig werden, dass sie auf Grund des Einschreitens der Steuerbehörden aufwertungshalber nachvollzogen und dabei ein Bilanzwert eingesetzt wird, der den marktgerechten Anschaffungswert nicht übersteigt (vgl. zum Ganzen insbesondere Duttweiler-Kärcher, a.a.O., 52 u. 60; Bauen, a.a.O:, 159 ff.; Böckli, a.a.O., RZ 1141 ff.; Cagianut/Höhn, a.a.O., Rz 62 ff. zu § 14; Reich, Realisation, a.a.O., 96 f. u. 117 ff.). Insgesamt besteht somit kein Grund, die Gesellschaft bei ihrem unterbewerteten Einbringungspreis zu behaften, zumal durch ein Abstellen auf den - hier von niemandem bestrittenen - wirklichen Wert niemand geschädigt wird. Es ist nicht ersichtlich, warum die den Stempelsteuerentscheid umsetzende und in der Folge jeweils von den zuständigen Gesellschaftsorganen genehmigte Bilanz für die Steuerbehörden auf Grund des Massgeblichkeitsprinzips nicht verbindlich sein sollte. b) Im Recht der direkten Bundessteuer ist der von der Stempelsteuer erfasste Aktionärszuschuss als verdeckte Kapitaleinlage zu qualifizieren. Dabei sehen die Steuerbehörden im Allgemeinen davon ab, die Unterbewertung der eingebrachten Beteiligung zu korrigieren; sie stützen sich auf den zwischen den Vertragsparteien festgelegten Verkaufspreis und lassen die stillen Reserven vorerst noch unbesteuert. Diesfalls muss sich die betroffene Gesellschaft aber auf Grund des Massgeblichkeitsprinzips auch in den folgenden Jahren bei den einmal gewählten Buchansätzen und somit ihrer Unterbewertung behaften lassen; insbesondere kann sie sich anlässlich einer späteren Realisation nicht mit historischen Argumenten gegen die Gewinnverwirklichung zur Wehr setzen; die bei der Einbringung entstandenen stillen Reserven werden im Realisierungszeitpunkt oder bei der Auflösung der Gesellschaft als ihr Gewinn besteuert. In bestimmten Fällen dagegen wird die mit der verdeckten Kapitaleinlage verbundene Unterbewertung für die direkte Bundessteuer korrigiert, namentlich dann, wenn die Unterbewertung es dem veräussernden Anteilsinhaber ermöglichen würde, der Besteuerung eines an sich steuerbaren und im Zeitpunkt des Beteiligungsübergangs realisierten Kapitalgewinns zu entgehen (zum Ganzen: vgl. Danielle Yersin, Apports et retraits de capital propre et bénéfice imposable, Diss. Lausanne 1977, 108 ff.; dies. , Quelques réflexions sur l'apport de biens à une entreprise, ASA 49, 175 ff.; Peter Brülisauer/Stephan Kuhn, a.a.O., Rz 80 ff. zu Art. 58 DBG ; Ernst Höhn/Robert Waldburger, a.a.O., Band I, Rz 71 ff. zu § 18; Ernst Känzig, Die Sacheinlage nach Aktien- und nach Steuerrecht, in: Grundfragen des Unternehmungssteuerrechts, Basel 1983, 52 ff.; Markus Reich, Verdeckte Vorteilszuwendungen zwischen verbundenen Unternehmen, ASA 54, 609 ff.). Gesamthaft ergibt sich somit, dass die von der Gesellschaft vorgenommene Neugestaltung ihrer Bilanz im Einklang mit den steuerrechtlichen Bewertungsgrundsätzen steht. Das Abstellen auf den Verkehrswert legt nicht nur die getätigte Kapitaleinlage als solche offen. Es entspricht auch dem Prinzip des "dealing at arm's length" oder Drittvergleichs, das eine Gesellschaft dazu verpflichtet, die Einbringung von Beteiligungen wie auch die anderen Rechtsgeschäfte mit ihren Anteilsinhabern grundsätzlich zu den gleichen Bedingungen abzuwickeln, wie sie auch mit aussenstehenden Dritten vereinbart würden (vgl. insbesondere StE 2000 B 24.4 55 E. 4a; StE, 1999 A 24.34 3/StR, 54 1999 679 E. 6c; ASA 65, 51/StE, 1995 B 72.11 3 E. 3b). c) Dementsprechend ist nicht weiter zu prüfen, ob die Pflichtige die steuerbehördliche Höherbewertung nur irrtümlich übernommen hat oder ob ihre jetzige Argumentation rechtsmissbräuchlich ist. Ebenso kann es nicht darauf ankommen, ob die in den Folgejahren vorgenommene Umbenennung der "Aufwertungsreserve" in "Agio aus Kapitalerhöhung" wirklich einer Korrektur der 1995 bilanzierten Buchungen entsprach. Ohne Belang sind schliesslich die Beziehungen zwischen den Gesellschaften, die als Revisionsstelle fungiert haben.</w:t>
      </w:r>
    </w:p>
    <w:p>
      <w:r>
        <w:rPr>
          <w:b/>
        </w:rPr>
        <w:t>E. 4</w:t>
      </w:r>
    </w:p>
    <w:p>
      <w:r>
        <w:t>Nach dem Gesagten erweist sich die Beschwerde als begründet. Der Entscheid des Verwaltungsgerichts des Kantons Schwyz vom 20. Februar 2001 ist aufzuheben, soweit er die direkte Bundessteuer betrifft, und der Einspracheentscheid der kantonalen Verwaltung für die direkte Bundessteuer Schwyz vom 16. Oktober 2000 zu bestätigen. Bei diesem Verfahrensausgang wird die unterliegene Beschwerdegegnerin kostenpflichtig ( Art. 156 Abs. 1 OG in Verbindung mit Art. 153 und 153a OG ). Über die Verlegung der Verfahrens- und Parteikosten des kantonalen Verfahrens wird die Vorinstanz neu zu befinden haben.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