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2A.14/2006 vom 4. Mai 2006</w:t>
      </w:r>
    </w:p>
    <w:p>
      <w:r>
        <w:t>Bundesgericht, 2006-05-04, FR</w:t>
      </w:r>
    </w:p>
    <w:p>
      <w:r>
        <w:rPr>
          <w:b/>
        </w:rPr>
        <w:t xml:space="preserve">Quelle: </w:t>
      </w:r>
      <w:r>
        <w:t>https://mcp.opencaselaw.ch/entscheid/bger_2A.14_2006</w:t>
      </w:r>
    </w:p>
    <w:p>
      <w:r>
        <w:t>FR: TF 2A.14/2006 du 4 mai 2006</w:t>
      </w:r>
    </w:p>
    <w:p>
      <w:r>
        <w:t>IT: TF 2A.14/2006 del 4 maggio 2006</w:t>
      </w:r>
    </w:p>
    <w:p>
      <w:pPr>
        <w:pStyle w:val="Heading2"/>
      </w:pPr>
      <w:r>
        <w:t>Erwägungen</w:t>
      </w:r>
    </w:p>
    <w:p>
      <w:r>
        <w:rPr>
          <w:b/>
        </w:rPr>
        <w:t>E. 1</w:t>
      </w:r>
    </w:p>
    <w:p>
      <w:r>
        <w:t>Déposé en temps utile contre une décision fondée sur le droit public fédéral et prise par une commission fédérale de recours, sans qu'aucune des exceptions prévues aux art. 99 à 102 OJ ou dans la législation spéciale ne soit réalisée, le présent recours est en principe recevable comme recours de droit administratif en vertu des art. 97 ss OJ ainsi que de l' art. 74 al. 4 LPP (arrêt 2A.189/2002 du 10 octobre 2002, consid. 1.1; ATF 119 Ib 46 consid. 1b-c p. 49 s.).</w:t>
      </w:r>
    </w:p>
    <w:p>
      <w:r>
        <w:rPr>
          <w:b/>
        </w:rPr>
        <w:t>E. 2</w:t>
      </w:r>
    </w:p>
    <w:p>
      <w:r>
        <w:t>La seule question à examiner en l'espèce est celle de savoir si la Commission fédérale de recours a correctement interprété et appliqué le droit fédéral en déniant aux Fondations recourantes la qualité pour recourir, cette dernière ne s'étant pas prononcée sur la question de savoir si une liquidation partielle de la fondation en cause devait être ordonnée.</w:t>
      </w:r>
    </w:p>
    <w:p>
      <w:r>
        <w:rPr>
          <w:b/>
        </w:rPr>
        <w:t>E. 2.1</w:t>
      </w:r>
    </w:p>
    <w:p>
      <w:r>
        <w:t>Selon l' art. 48 PA , a qualité pour recourir quiconque est touché par la décision et a un intérêt digne de protection à ce qu'elle soit annulée ou modifiée (let. a); toute autre personne, organisation ou autorité que le droit fédéral autorise à recourir (let. b). La teneur de cette disposition étant à peu près identique à celle de l' art. 103 lettre a OJ , qui détermine la qualité pour recourir devant le Tribunal fédéral par la voie du recours de droit administratif, ces deux dispositions légales s'interprètent de la même manière ( ATF 127 II 32 consid. 2d p. 38; 124 II 499 consid. 3b p. 504; 123 II 376 consid. 2 p. 378 et les arrêts cités).</w:t>
      </w:r>
    </w:p>
    <w:p>
      <w:r>
        <w:t>La jurisprudence considère comme intérêt digne de protection, au sens des art. 103 lettre a OJ et 48 lettre a PA,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en particulier, la personne doit se trouver dans un rapport suffisamment étroit avec la décision; tel n'est pas le cas de celui qui n'est atteint que de manière indirecte ou médiate ( ATF 131 V 362 consid. 2.1 p. 365, 298 consid. 3 p. 300; 131 II 361 consid. 1.2 p. 365, 587 consid. 2.1 p. 588 et les arrêts cités).</w:t>
      </w:r>
    </w:p>
    <w:p>
      <w:r>
        <w:t>Dans un arrêt du 11 février 1998 relatif à la liquidation partielle d'une institution de prévoyance, le Tribunal fédéral a confirmé la qualité pour recourir de l'institution de prévoyance à laquelle étaient nouvellement affiliés les employés en cas de transfert de leur contrat de travail à un nouvel employeur. Il a constaté que celle-ci avait intérêt à connaître les moyens apportés par les employés nouvellement affiliés, puisqu'elle devait administrer leurs prétentions d'assurés. Cet intérêt de fait se trouvait dans un rapport suffisamment particulier, étroit et notable avec l'objet du litige de telle sorte qu'il fallait le considérer comme digne de protection au sens de l' art. 48 lettre a PA (arrêt 2A.185/1997 du 11 février 1998 consid. 3c, publié in Pra 1998 n° 70 p. 435 et SZS 2001 p. 374). Sous cet angle, iI importait peu que le droit aux fonds libres fût crédité sur les comptes individuels ou directement sur les comptes de la nouvelle institution de prévoyance.</w:t>
      </w:r>
    </w:p>
    <w:p>
      <w:r>
        <w:t>Il n'y a pas lieu de revenir sur cette jurisprudence. A tout le moins, la Commission fédérale de recours, qui ne s'y réfère pas, n'expose aucun motif à cet effet.</w:t>
      </w:r>
    </w:p>
    <w:p>
      <w:r>
        <w:rPr>
          <w:b/>
        </w:rPr>
        <w:t>E. 2.2</w:t>
      </w:r>
    </w:p>
    <w:p>
      <w:r>
        <w:t>En l'espèce, il n'est pas contesté que les employés de Z.________, dont le contrat de travail a été transféré à la société B.________ AG, ont cessé d'être assurés par la Fondation en cause et ont été nouvellement affiliés aux Fondations recourantes. Ces dernières sont depuis lors chargées d'administrer leurs prétentions de prévoyance professionnelle. Elles ont par conséquent un intérêt digne de protection à recourir contre le refus de l'Autorité cantonale de surveillance des fondations d'ordonner la liquidation partielle de la Fondation en cause.</w:t>
      </w:r>
    </w:p>
    <w:p>
      <w:r>
        <w:t>Au vu du sort du recours, il n'est pas nécessaire d'examiner les griefs relatifs à la violation du droit d'être entendu et à la constatation inexacte et incomplète des faits pertinents.</w:t>
      </w:r>
    </w:p>
    <w:p>
      <w:r>
        <w:rPr>
          <w:b/>
        </w:rPr>
        <w:t>E. 3</w:t>
      </w:r>
    </w:p>
    <w:p>
      <w:r>
        <w:t>Les considérants qui précèdent conduisent à l'admission du recours et et à l'annulation de la décision rendue le 11 novembre 2005 par la Commission fédérale de recours en matière de prévoyance professionnelle, vieillesse, survivants et invalidité. La cause est renvoyée à la Commission fédérale de recours pour décision sur le fond.</w:t>
      </w:r>
    </w:p>
    <w:p>
      <w:r>
        <w:t>Les frais sont mis à la charge de la Personalfürsorgestiftung Z.________ qui succombe (art. 153 et 153a en relation avec l' art. 156 OJ ); cette dernière versera une indemnité de partie aux Fondations recourantes qui ont obtenu gain de cause avec l'aide d'un mandataire professionnel ( art. 159 OJ ; arrêt B 29/97 du 26 février 1999 in SZS 2001 p. 190).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