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2A.145/2001 vom 7. Mai 2001</w:t>
      </w:r>
    </w:p>
    <w:p>
      <w:r>
        <w:t>Bundesgericht, 2001-05-07, FR</w:t>
      </w:r>
    </w:p>
    <w:p>
      <w:r>
        <w:rPr>
          <w:b/>
        </w:rPr>
        <w:t xml:space="preserve">Quelle: </w:t>
      </w:r>
      <w:r>
        <w:t>https://mcp.opencaselaw.ch/entscheid/bger_2A.145_2001</w:t>
      </w:r>
    </w:p>
    <w:p>
      <w:r>
        <w:t>FR: TF 2A.145/2001 du 7 mai 2001</w:t>
      </w:r>
    </w:p>
    <w:p>
      <w:r>
        <w:t>IT: TF 2A.145/2001 del 7 maggio 2001</w:t>
      </w:r>
    </w:p>
    <w:p>
      <w:pPr>
        <w:pStyle w:val="Heading2"/>
      </w:pPr>
      <w:r>
        <w:t>Erwägungen</w:t>
      </w:r>
    </w:p>
    <w:p>
      <w:r>
        <w:rPr>
          <w:b/>
        </w:rPr>
        <w:t>E. 1</w:t>
      </w:r>
    </w:p>
    <w:p>
      <w:r>
        <w:t>a) La voie du recours de droit administratif est en principe ouverte contre les décisions relatives à l'assujettissement aux mesures de limitation en vertu des art. 97 ss OJ ( ATF 122 II 403 consid. 1 p. 404/405; 119 Ib 33 consid. 1a p. 35; 118 Ib 81 consid. 1 p. 82). Dans la mesure où il tend à l'annulation de la décision attaquée et à faire constater que la recourante remplit les conditions d'exemption aux mesures de limitation, le présent recours, qui satisfait en outre aux exigences formelles des art. 97 ss OJ , est donc recevable.</w:t>
      </w:r>
    </w:p>
    <w:p>
      <w:r>
        <w:t>b) Selon l' art. 110 al. 4 OJ , un second échange d'écritures n'a lieu qu'exceptionnellement. Or, en l'espèce, le Tribunal fédéral dispose d'un dossier complet et de tous les éléments nécessaires pour statuer. Quant à la réponse au recours du Département, elle ne fait que préciser certains points, mais ne contient rien de nouveau. Les conditions pour ordonner un second échange d'écritures, comme l'a sollicité le recourant, ne sont donc pas réunies.</w:t>
      </w:r>
    </w:p>
    <w:p>
      <w:r>
        <w:rPr>
          <w:b/>
        </w:rPr>
        <w:t>E. 2</w:t>
      </w:r>
    </w:p>
    <w:p>
      <w:r>
        <w:t>Le recourant soutient essentiellement qu'il avait l'intention de revenir à Genève après l'enterrement de sa soeur en 1989, mais qu'il est finalement resté au Zimbabwe par devoir filial et familial. Il avait cependant connu des problèmes de réadaptation dans son pays d'origine, qui se sont aggravés en raison des conditions économiques et sociales actuelles.</w:t>
      </w:r>
    </w:p>
    <w:p>
      <w:r>
        <w:t>a) 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w:t>
      </w:r>
    </w:p>
    <w:p>
      <w:r>
        <w:t>Il découle de la formulation de l'art. 13 lettre f OLE que cette disposition dérogatoire présente un caractère exceptionnel et que les conditions pour une reconnaissance d'un cas de rigueur doivent être appréciées restrictivement.</w:t>
      </w:r>
    </w:p>
    <w:p>
      <w:r>
        <w:t>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Seules sont donc déterminantes les circonstances qui sont propres à l'intéressé personnellement ou à ses proches vivant avec lui en Suisse ( ATF 123 II 125 consid. 3 p. 128).</w:t>
      </w:r>
    </w:p>
    <w:p>
      <w:r>
        <w:t>b) En l'espèce, il n'est pas contesté que le recourant a vécu en Suisse pendant plus de dix-sept ans et qu'il était titulaire d'un permis d'établissement lorsqu'il est retourné au Zimbabwe en 1989. Même si, au départ, il est parti pour des raisons familiales, sans intention de s'y installer, il y a séjourné ensuite pendant plus de dix ans pour y travailler dans la ferme de son frère. Il s'est ainsi volontairement éloigné de ses fils alors âgés respectivement de dix-neuf et quatorze ans, sans que des circonstances extérieures le contraignent à demeurer aussi longtemps au Zimbabwe. A cet égard, les raisons financières qu'il allègue ne sont pas convaincantes, d'autant plus que ses deux fils lui ont rendu visite en 1994 et qu'ils auraient vraisemblablement aussi eu la possibilité de le faire revenir en Suisse à cette époque. Or, une telle rupture aussi longue avec la Suisse s'oppose à ce que le recourant puisse maintenant revenir à Genève à sa guise. La jurisprudence ne confère en effet aucun "droit au retour en Suisse" à celui qui, après y avoir résidé de nombreuses années, décide de quitter notre pays pour s'installer à l'étranger, sans que des circonstances exceptionnelles ne l'aient amenées à ce départ, comme cela avait été le cas du ressortissant italien jugé dans l'arrêt publié aux ATF 117 Ib 317 ss, lequel était retourné six ans dans son pays d'origine pour s'occuper de ses parents malades. Il est vrai que, sous l'angle de l'octroi d'une exception aux mesures de limitation, ces étrangers ne peuvent être considérés comme des immigrants ordinaires et que l'on ne saurait faire totalement abstraction des années qu'ils ont passées en Suisse avant leur départ (arrêt non publié du 5 mars 1999 en la cause Poblete Cruz, consid. 3a).</w:t>
      </w:r>
    </w:p>
    <w:p>
      <w:r>
        <w:t>Toutefois, dans l'appréciation d'ensemble de leur situation, ces années ne pèsent pas aussi lourd que s'ils n'avaient jamais quitté la Suisse, de sorte que leur situation n'est notamment pas comparable à celle des requérants d'asile bien intégrés en Suisse et qui y ont séjourné pendant dix ans ou plus, sans pouvoir retourner dans leur pays d'origine ( ATF 124 II 110 consid. 3 p. 113).</w:t>
      </w:r>
    </w:p>
    <w:p>
      <w:r>
        <w:t>c) En ce qui concerne la protection de la vie familiale garantie par l' art. 8 CEDH , elle n'a pas de portée propre dans le cadre d'une procédure d'exception aux mesures de limitation qui ne porte pas sur le droit de séjourner en Suisse. Les motifs d'ordre familial ne sont alors pris en considération qu'en présence d'un cas d'extrême gravité, s'ils sont liés à cette situation (arrêt non publié du 4 décembre 1998 en la cause Rodic et du 9 mars 1994 en la cause Jedaied). Or cette circonstance n'est pas réalisée en l'espèce et le recourant ne se trouve pas non plus dans une situation de dépendance par rapport à son fils cadet, dès lors qu'il serait capable d'être indépendant et de travailler.</w:t>
      </w:r>
    </w:p>
    <w:p>
      <w:r>
        <w:t>Dans ces conditions, il ne se justifie pas de l'exempter des mesures de limitation selon l'art. 13 lettre f OLE. 3.- Il résulte de ce qui précède que le Département fédéral de justice et police n'a pas violé le droit fédéral, ni abusé de son pouvoir d'appréciation en prenant la décision attaquée, de sorte que le recours doit être rejeté, avec suite de frais à la charge du recourant ( art. 156 al. 1, 153 et 153a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