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2A.131/2003 vom 19. August 2003</w:t>
      </w:r>
    </w:p>
    <w:p>
      <w:r>
        <w:t>Bundesgericht, 2003-08-19, FR</w:t>
      </w:r>
    </w:p>
    <w:p>
      <w:r>
        <w:rPr>
          <w:b/>
        </w:rPr>
        <w:t xml:space="preserve">Quelle: </w:t>
      </w:r>
      <w:r>
        <w:t>https://mcp.opencaselaw.ch/entscheid/bger_2A.131_2003</w:t>
      </w:r>
    </w:p>
    <w:p>
      <w:r>
        <w:t>FR: TF 2A.131/2003 du 19 août 2003</w:t>
      </w:r>
    </w:p>
    <w:p>
      <w:r>
        <w:t>IT: TF 2A.131/2003 del 19 agosto 2003</w:t>
      </w:r>
    </w:p>
    <w:p>
      <w:pPr>
        <w:pStyle w:val="Heading2"/>
      </w:pPr>
      <w:r>
        <w:t>Regeste</w:t>
      </w:r>
    </w:p>
    <w:p>
      <w:r>
        <w:t>Droit de cité et droit des étrangers</w:t>
      </w:r>
    </w:p>
    <w:p>
      <w:pPr>
        <w:pStyle w:val="Heading2"/>
      </w:pPr>
      <w:r>
        <w:t>Erwägungen</w:t>
      </w:r>
    </w:p>
    <w:p>
      <w:r>
        <w:rPr>
          <w:b/>
        </w:rPr>
        <w:t>E. 1.1</w:t>
      </w:r>
    </w:p>
    <w:p>
      <w:r>
        <w:t>La voie du recours de droit administratif est, en principe, ouverte contre les décisions relatives à l'assujettissement aux mesures de limitation prévues par l'ordonnance limitant le nombre des étrangers ( ATF 122 II 403 consid. 1 p. 404-405). Déposé en temps utile et dans les formes prescrites par la loi ( art. 97 ss OJ ), le présent recours est donc recevable.</w:t>
      </w:r>
    </w:p>
    <w:p>
      <w:r>
        <w:rPr>
          <w:b/>
        </w:rPr>
        <w:t>E. 1.2</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264 consid. 1b p. 268).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2 p. 390 et les arrêts cités). Le Tribunal fédéral ne peut en revanche pas revoir l'opportunité de la décision entreprise, le droit fédéral ne prévoyant pas un tel examen en la matière (art. 104 lettre c ch. 3 OJ; ATF 127 II 297 consid. 2a p. 298). Dans ces conditions, rien ne s'oppose en principe à la prise en considération des pièces que la recourante a jointes à son recours de droit administratif. Quant à la pièce déposée après l'échéance du délai de recours, il n'est pas certain qu'elle puisse être prise en compte (cf. ATF 109 Ib 246 consid. 3c p. 249). La question peut toutefois demeurer indécise, du moment que les faits auxquels elle se rapporte ne changent rien au sort du recours (cf. consid. 3.2 ci-après).</w:t>
      </w:r>
    </w:p>
    <w:p>
      <w:r>
        <w:rPr>
          <w:b/>
        </w:rPr>
        <w:t>E. 2.1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w:t>
      </w:r>
    </w:p>
    <w:p>
      <w:r>
        <w:rPr>
          <w:b/>
        </w:rPr>
        <w:t>E. 2.2</w:t>
      </w:r>
    </w:p>
    <w:p>
      <w:r>
        <w:t>La jurisprudence ne confère aucun "droit au retour en Suisse" à ceux qui, après y avoir résidé durant de nombreuses années, décident de quitter la Suisse pour s'installer à l'étranger, sans que des circonstances exceptionnelles ne les aient amenés à ce départ ( ATF 117 Ib 317 consid. 4b p. 322). Certes, sous l'angle de l'octroi d'une exception aux mesures de limitation, ces étrangers ne peuvent être considérés comme des immigrants ordinaires et l'on ne peut faire totalement abstraction des années qu'ils ont passées dans notre pays avant leur départ, mais, dans l'appréciation d'ensemble de leur situation, ces années ne pèsent pas aussi lourd que s'ils n'avaient jamais quitté la Suisse (arrêts du Tribunal fédéral 2A.300/2002 du 20 juin 2002, consid. 2.1 et 2A.429/1998 du 5 mars 1999, consid. 3a).</w:t>
      </w:r>
    </w:p>
    <w:p>
      <w:r>
        <w:rPr>
          <w:b/>
        </w:rPr>
        <w:t>E. 3.1</w:t>
      </w:r>
    </w:p>
    <w:p>
      <w:r>
        <w:t>Reprenant en substance l'argumentation présentée devant le Département fédéral, la recourante expose qu'elle n'a pas quitté la Suisse de son plein gré, mais bien parce qu'elle a été contrainte de suivre ses parents et qu'il s'agit là d'une circonstance extraordinaire qui doit conduire à admettre l'existence d'un cas de rigueur. Elle relève qu'elle est indépendante sur le plan financier et que ses proches, hormis ses parents, vivent en Suisse. Elle soutient qu'elle n'a décidé de revenir en Suisse qu'en raison de son attachement à ce pays et que, bien qu'ayant effectué des études et un cursus professionnel au Chili, elle ne s'est jamais réadaptée à son pays d'origine. Au surplus, elle invoque deux dispositions du projet de loi fédérale sur les étrangers: la première selon laquelle l'admission des étrangers en vue de l'exercice d'une activité lucrative doit servir les intérêts de l'économie suisse, les chances d'intégration professionnelle et sociale étant déterminantes; la seconde d'après laquelle l'intégration des étrangers suppose, d'un côté, qu'ils soient disposés à s'intégrer - et, dans ce but, à se familiariser avec la société et le mode de vie en Suisse ainsi qu'à apprendre une langue nationale - et, de l'autre, que la population suisse fasse preuve d'ouverture à leur égard. Elle fait ainsi valoir qu'elle est entièrement disposée à s'intégrer et remplit toutes les conditions pour cela: elle parle une langue nationale, entretient des relations socio-culturelles avec des ressortissants suisses et a la mentalité suisse.</w:t>
      </w:r>
    </w:p>
    <w:p>
      <w:r>
        <w:rPr>
          <w:b/>
        </w:rPr>
        <w:t>E. 3.2</w:t>
      </w:r>
    </w:p>
    <w:p>
      <w:r>
        <w:t>Il est constant qu'aucune circonstance exceptionnelle n'a contraint les parents de la recourante à quitter la Suisse. Ceux-ci ont agi de leur plein gré, en prenant une décision qui engageait la recourante, mineure à cette époque. Or, le fait que la recourante n'est pas partie de son propre chef mais qu'elle a dû suivre ses parents ne saurait à lui seul constituer une circonstance exceptionnelle au sens de la jurisprudence précitée (arrêts 2A.300/2002 consid. 2.2 et 2A.429/1998 consid. 3a). A cet égard, quoi qu'en dise la recourante, l'affaire traitée par le premier arrêt cité est bel et bien similaire au cas présent, puisqu'il s'agissait d'un ressortissant chilien ayant passé son enfance et son adolescence en Suisse qui, à l'âge de 19 ans, soit lorsqu'il était encore mineur (l'ancien art. 14 CC en vigueur jusqu'au 31 décembre 1995 fixait alors la majorité à 20 ans), avait dû suivre ses parents qui quittaient volontairement la Suisse, après un séjour de près de 13 ans, pour retourner au Chili. Revenu en Suisse six ans plus tard, il s'était vu refuser une exemption des mesures de limitation, décision qui a été confirmée par le Tribunal fédéral. Par ailleurs, d'un côté, il n'est pas contesté que la recourante a passé près de 12 ans en Suisse (de quatre ans et demi à seize ans), années importantes puisqu'elle y a suivi l'essentiel de sa scolarité, et qu'elle a conservé des attaches dans notre pays. D'un autre côté, force est de constater, avec le Département fédéral, qu'elle a vécu dans son pays d'origine durant près de dix ans (de seize à vingt-cinq ans), qu'elle y a donc passé la fin de son adolescence, qu'elle y a achevé ses études et y a travaillé. S'agissant des raisons pour lesquelles elle n'est pas revenue en Suisse plus tôt, la recourante ne fait plus valoir, comme en procédure devant l'autorité intimée, qu'elle a dû venir en aide à sa mère après que son père eut abandonné le domicile conjugal; de toute manière, cette argumentation était inopérante dès lors qu'il n'était pas établi que l'état de sa mère fût grave au point de justifier sa présence constante à ses côtés. En revanche, elle allègue que compte tenu des revenus très bas obtenus au Chili, elle a dû attendre de disposer de moyens financiers suffisants pour revenir en Suisse. Elle produit à cet égard un courrier de l'ambassade de Suisse au Chili d'où il ressort que le salaire moyen d'une personne âgée d'environ vingt-quatre ans sans diplôme universitaire est, dans ce pays, de l'ordre de 230 à 480 fr. Toutefois, elle ne donne aucune information sur sa propre situation patrimoniale, notamment sur ses ressources. Elle n'indique pas, ni ne démontre, le montant qu'elle a dû épargner et le temps qu'il lui a fallu pour cela. Dans ces conditions, il n'est pas établi que la nécessité de rassembler les fonds nécessaires constitue la raison pour laquelle la recourante n'est revenue en Suisse qu'en 2001. En ce qui concerne le fait - nouvellement allégué dans le recours au Tribunal fédéral mais pouvant être pris en compte dans la présente procédure (cf. consid. 1.2 ci-dessus) - que le frère de la recourante a entrepris les mêmes démarches qu'elle, il n'est pas déterminant. La recourante ne prétend en effet pas que ces démarches aient abouti dans le sens où l'intéressé a été mis au bénéfice d'une exception aux mesures de limitation du nombre des étrangers. Dans ces conditions, il convient de rejeter, comme étant dénuée de pertinence, la requête tendant à l'édition du dossier administratif relatif à Y.________. Quant à la présence en Suisse de la recourante, elle-même n'indique pas d'autres raisons que son attachement à notre pays, dont elle a adopté la mentalité et la culture. Un tel motif, pour respectable et louable qu'il soit, ainsi que les circonstances évoquées ci-dessus ne suffisent cependant pas à démontrer l'existence d'une situation de détresse personnelle, ce d'autant que la recourante ne prétend pas que son retour dans son pays d'origine ne puisse être exigé d'elle. Vu ce qui précède, il y a lieu de retenir que le Département fédéral n'a pas violé le droit fédéral ni abusé de son pouvoir d'appréciation en refusant d'exempter la recourante des mesures de limitation.</w:t>
      </w:r>
    </w:p>
    <w:p>
      <w:r>
        <w:rPr>
          <w:b/>
        </w:rPr>
        <w:t>E. 3.3</w:t>
      </w:r>
    </w:p>
    <w:p>
      <w:r>
        <w:t>S'agissant enfin des dispositions du projet de loi fédérale sur les étrangers dont la recourante se prévaut, outre qu'elles sont très générales, elles ne peuvent être invoquées à l'encontre du droit en vigueur. Cela vaut d'autant plus que le projet est antérieur à la procédure de consultation - qui vient de s'achever - et que, s'agissant d'un domaine aussi sensible que le droit des étrangers, il pourrait être substantiellement modifié lors des débats parlementaires, notamment en ce qui concerne le type de situation dans laquelle se trouve la recourante. Ainsi, rien ne peut être tiré du projet en faveur de la recourante.</w:t>
      </w:r>
    </w:p>
    <w:p>
      <w:r>
        <w:rPr>
          <w:b/>
        </w:rPr>
        <w:t>E. 4</w:t>
      </w:r>
    </w:p>
    <w:p>
      <w:r>
        <w:t>Vu ce qui précède, le recours doit être rejeté. Succombant, la recourante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