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2A.129/2006 vom 27. Juni 2006</w:t>
      </w:r>
    </w:p>
    <w:p>
      <w:r>
        <w:t>Bundesgericht, 2006-06-27, DE</w:t>
      </w:r>
    </w:p>
    <w:p>
      <w:r>
        <w:rPr>
          <w:b/>
        </w:rPr>
        <w:t xml:space="preserve">Quelle: </w:t>
      </w:r>
      <w:r>
        <w:t>https://mcp.opencaselaw.ch/entscheid/bger_2A.129_2006</w:t>
      </w:r>
    </w:p>
    <w:p>
      <w:r>
        <w:t>FR: TF 2A.129/2006 du 27 juin 2006</w:t>
      </w:r>
    </w:p>
    <w:p>
      <w:r>
        <w:t>IT: TF 2A.129/2006 del 27 giugno 2006</w:t>
      </w:r>
    </w:p>
    <w:p>
      <w:pPr>
        <w:pStyle w:val="Heading2"/>
      </w:pPr>
      <w:r>
        <w:t>Regeste</w:t>
      </w:r>
    </w:p>
    <w:p>
      <w:r>
        <w:t>Widerruf der Niederlassungsbewilligung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Der Widerruf einer Niederlassungsbewilligung fällt hingegen nicht unter diesen Ausschlussgrund (vgl. Art. 101 lit. d OG ). Vorliegend ist über das Familiennachzugsgesuch für die Ehefrau und die drei Kinder, welches das Widerrufsverfahren ausgelöst hat, formell noch nicht befunden worden (vgl. vorne "B."). Verfahrensgegenstand bildet ausschliesslich der Widerruf der Niederlassungsbewilligung des Beschwerdeführers. Hiegegen ist die Verwaltungsgerichtsbeschwerde nach dem Gesagten zulässig, und der Beschwerdeführer ist hierzu legitimiert ( Art. 103 lit. a OG ).</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Gemäss Art. 7 Abs. 1 ANAG (SR 142.20) hat der ausländische Ehegatte eines Schweizer Bürgers Anspruch auf Erteilung und Verlängerung der Aufenthaltsbewilligung; des Weiteren hat er nach einem ordnungsgemässen und ununterbrochenen Aufenthalt von fünf Jahren Anspruch auf die Niederlassungsbewilligung. Kein Anspruch besteht indessen,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Lebensgemeinschaft beabsichtigen. Auch wenn die Ehe nicht bloss zum Schein eingegangen worden ist, heisst dies jedoch nicht zwingend, dass dem ausländischen Ehepartner der Aufenthalt weiterhin gestattet werden muss. Zu prüfen ist diesfalls, ob nicht insofern ein Rechtsmissbrauch vorliegt, als die Ehe, auf welche sich der Ausländer im Verfahren um Erteilung einer fremdenpolizeilichen Anwesenheitsbewilligung beruft, nur (noch) formell und ohne Aussicht auf Aufnahme bzw. Wiederaufnahme einer ehelichen Gemeinschaft besteht ( BGE 128 II 145 E. 2.1/2.2 S. 151 mit Hinweisen). Als eigenes und selbständiges Niederlassungsrecht erlischt die einmal erteilte Niederlassungsbewilligung mit Wegfall der Ehe nicht automatisch, sondern sie kann allenfalls widerrufen werden, und zwar nicht nach den allgemeinen Regeln über den Widerruf von Verfügungen, sondern ausschliesslich unter den Voraussetzungen von Art. 9 Abs. 4 ANAG ( BGE 112 Ib 161 E. 3 S. 162 f., 473 E. 2 S. 475).</w:t>
      </w:r>
    </w:p>
    <w:p>
      <w:r>
        <w:rPr>
          <w:b/>
        </w:rPr>
        <w:t>E. 2.2</w:t>
      </w:r>
    </w:p>
    <w:p>
      <w:r>
        <w:t>Die Niederlassungsbewilligung kann widerrufen werden, wenn der Ausländer sie durch falsche Angaben oder wissentliches Verschweigen wesentlicher Tatsachen erschlichen hat ( Art. 9 Abs. 4 lit. a ANAG ). Der Widerruf setzt voraus, dass der Betroffene wissentlich falsche Angaben gemacht oder wesentliche Tatsachen verschwiegen hat, in der Absicht, gestützt darauf den Aufenthalt oder die Niederlassung bewilligt zu erhalten (Urteile des Bundesgerichts 2A.436/2003 vom 6. Januar 2004, E. 3.1; 2A.551/2003 vom 21. November 2003, E. 2.1; 2A.432/2002 vom 5. Februar 2003, E. 2.1; BGE 112 Ib 473 E. 3b S. 475 f.).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(Urteile 2A.511/2001 vom 10. Juni 2002, publ. in: Pra 2002 Nr. 163, E. 3.2; 2A.57/2002 vom 20. Juni 2002, publ. in: Pra 2002 Nr. 165, E. 2.2, je mit Hinweisen). Die Erschleichung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2A.511/2001 vom 10. Juni 2002, E. 3.2).</w:t>
      </w:r>
    </w:p>
    <w:p>
      <w:r>
        <w:rPr>
          <w:b/>
        </w:rPr>
        <w:t>E. 3.1</w:t>
      </w:r>
    </w:p>
    <w:p>
      <w:r>
        <w:t>Das Rekursgericht im Ausländerrecht hat offen gelassen, ob im Falle des Beschwerdeführers im Zeitpunkt der Erteilung der Niederlassungsbewilligung von einer Scheinehe oder von einem rechtsmissbräuchlichen Berufen auf eine nur noch formell bestehende Ehe ausgegangen werden müsste (E. 3 des angefochtenen Entscheides). Das Gericht erwog jedoch mit Bezug auf die vorstehend erwähnte bundesgerichtliche Rechtsprechung, das "Vorhandensein" von Kindern sei für die Erteilung einer Aufenthalts- oder Niederlassungsbewilligung bei objektiver Betrachtung relevant, was für den Beschwerdeführer erkennbar gewesen sei. Dieser habe durch das Verschweigen der Kinder die Fremdenpolizei im Glauben gelassen, er habe im Ausland keine verwandtschaftlichen Beziehungen mehr. Insgesamt sei daher der Widerrufsgrund von Art. 9 Abs. 4 lit. a ANAG erfüllt (S. 8 des angefochtenen Entscheides).</w:t>
      </w:r>
    </w:p>
    <w:p>
      <w:r>
        <w:rPr>
          <w:b/>
        </w:rPr>
        <w:t>E. 3.2</w:t>
      </w:r>
    </w:p>
    <w:p>
      <w:r>
        <w:t>Das Vorgehen des Beschwerdeführers (Erwirkung einer Aufenthaltsbewilligung durch Heirat einer Schweizer Bürgerin, Verschweigen der Weiterführung einer engen Beziehung zur früheren Ehefrau sowie der Existenz der während der Ehe mit der Schweizerin in dieser Parallelbeziehung gezeugten Kinder, Scheidung nach Erhalt der Niederlassungsbewilligung, Wiederverheiratung mit der Landsfrau und Familiennachzugsgesuch für diese und die drei mit ihr gezeugten Kinder) entspricht einem bekannten Verhaltensmuster (vgl. die in E. 2.2 erwähnten Urteile). Bei ordnungsgemässer Bekanntgabe der familiären Verhältnisse hätte für die Fremdenpolizeibehörde Anlass zur Annahme bestanden, dass die Ehe mit der Schweizer Bürgerin jedenfalls seitens des Beschwerdeführers nicht als Lebensgemeinschaft geplant war, sondern bloss als Mittel zur Verschaffung eines späteren Anwesenheitsrechts für die mit der Landsfrau gegründete Familie dienen sollte. Die Erteilung einer Niederlassungsbewilligung hätte alsdann wegen Rechtsmissbrauches verweigert werden können (vgl. E. 2.1), was den Widerruf der erschlichenen Niederlassungsbewilligung rechtfertigt.</w:t>
      </w:r>
    </w:p>
    <w:p>
      <w:r>
        <w:rPr>
          <w:b/>
        </w:rPr>
        <w:t>E. 3.3</w:t>
      </w:r>
    </w:p>
    <w:p>
      <w:r>
        <w:t>Die in der weitschweifigen Beschwerdeschrift gegebene Darstellung, wonach es nur zufällig zur Zeugung der Kinder mit der ersten Ehefrau gekommen sei und der Beschwerdeführer bei Eingehung der Ehe mit Z.________ keineswegs den ihm zur Last gelegten Rechtsmissbrauch geplant habe, vermag gegenüber der Sachverhaltsdarstellung im angefochtenen Urteil, an die das Bundesgericht nach Massgabe von Art. 105 Abs. 2 OG gebunden ist (E. 1.2), nicht durchzudringen. Das Rekursgericht durfte aufgrund der objektiven Umstände zulässigerweise auf das Vorliegen eines Widerrufsgrundes schliessen und in antizipierter Beweiswürdigung (vgl. BGE 122 II 464 E. 4a S. 469) auf die Abnahme weiterer Beweise verzichten. Nach der Rechtsprechung (E. 2.2) genügt, dass die verschwiegenen Tatsachen geeignet gewesen wären, den Anspruch auf eine Niederlassungsbewilligung ernsthaft in Frage zu stellen. Auch beschönigende Erklärungen der Beteiligten hätten an der dem Beschwerdeführer zur Last gelegten Verletzung der Informations- bzw. Auskunftspflicht nichts ändern können.</w:t>
      </w:r>
    </w:p>
    <w:p>
      <w:r>
        <w:rPr>
          <w:b/>
        </w:rPr>
        <w:t>E. 3.4</w:t>
      </w:r>
    </w:p>
    <w:p>
      <w:r>
        <w:t>Der Widerruf der Niederlassungsbewilligung erscheint sodann auch nicht unverhältnismässig. Der Beschwerdeführer verfügt zwar in der Schweiz über eine feste Arbeitsstelle und gilt als beruflich integriert (angefochtener Entscheid S. 10). Aufgrund seiner Erfahrung in der Baubranche hat er jedoch Chancen, im Heimatland beruflich wieder Fuss zu fassen. Nachdem sich der Beschwerdeführer mit seiner ersten Ehefrau, welche zusammen mit ihren Kindern immer im Kosovo lebte, erneut verheiratet hat, ist es ihm durchaus zuzumuten, dorthin zurückzukehren.</w:t>
      </w:r>
    </w:p>
    <w:p>
      <w:r>
        <w:rPr>
          <w:b/>
        </w:rPr>
        <w:t>E. 4</w:t>
      </w:r>
    </w:p>
    <w:p>
      <w:r>
        <w:t>Nach dem Gesagten ist die Verwaltungsgerichtsbeschwerde als unbegründet abzuweisen. Bei diesem Ausgang des Verfahrens sind die Gerichtskosten dem Beschwerdeführer aufzuerlegen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