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2A.124/2007 vom 25. Oktober 2007</w:t>
      </w:r>
    </w:p>
    <w:p>
      <w:r>
        <w:t>Bundesgericht, 2007-10-25, DE</w:t>
      </w:r>
    </w:p>
    <w:p>
      <w:r>
        <w:rPr>
          <w:b/>
        </w:rPr>
        <w:t xml:space="preserve">Quelle: </w:t>
      </w:r>
      <w:r>
        <w:t>https://mcp.opencaselaw.ch/entscheid/bger_2A.124_2007</w:t>
      </w:r>
    </w:p>
    <w:p>
      <w:r>
        <w:t>FR: TF 2A.124/2007 du 25 octobre 2007</w:t>
      </w:r>
    </w:p>
    <w:p>
      <w:r>
        <w:t>IT: TF 2A.124/2007 del 25 ottobre 2007</w:t>
      </w:r>
    </w:p>
    <w:p>
      <w:pPr>
        <w:pStyle w:val="Heading2"/>
      </w:pPr>
      <w:r>
        <w:t>Erwägungen</w:t>
      </w:r>
    </w:p>
    <w:p>
      <w:r>
        <w:rPr>
          <w:b/>
        </w:rPr>
        <w:t>E. 1</w:t>
      </w:r>
    </w:p>
    <w:p>
      <w:r>
        <w:t>Am 1. Januar 2007 ist das Bundesgesetz über das Bundesgericht vom 17. Juni 2005 (BGG; SR 173.110) in Kraft getreten. Da der hier angefochtene Entscheid vor diesem Datum erging, findet auf das vorliegende Verfahren noch das Bundesgesetz über die Organisation der Bundesrechtspflege vom 16. Dezember 1943 (OG) mit den seitherigen Änderungen Anwendung (vgl. Art. 132 Abs. 1 BGG ).</w:t>
      </w:r>
    </w:p>
    <w:p>
      <w:r>
        <w:rPr>
          <w:b/>
        </w:rPr>
        <w:t>E. 2</w:t>
      </w:r>
    </w:p>
    <w:p>
      <w:r>
        <w:t>Die Beschwerdeführer machen keinen Revisions- bzw. Wiedererwägungsgrund mehr geltend. Streitig ist einzig noch, ob das Begehren um Rückerstattung der Verrechnungssteuer auf den Fälligkeiten des Jahres 2001 deshalb zu behandeln ist, weil der Entscheid über den Rückerstattungsanspruch (mit null Franken) gemäss Veranlagungsverfügung (Ermessensveranlagung) vom 12. Dezember 2002 nichtig ist.</w:t>
      </w:r>
    </w:p>
    <w:p>
      <w:r>
        <w:rPr>
          <w:b/>
        </w:rPr>
        <w:t>E. 3.1</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133 II 136 E. 3.2.1; 132 II 21 E. 3.1 S. 27 mit Hinweisen).</w:t>
      </w:r>
    </w:p>
    <w:p>
      <w:r>
        <w:rPr>
          <w:b/>
        </w:rPr>
        <w:t>E. 3.2</w:t>
      </w:r>
    </w:p>
    <w:p>
      <w:r>
        <w:t>Von Nichtigkeit in diesem Sinne kann hinsichtlich der Verfügung vom 12. Dezember 2002 nicht gesprochen werden. Zwar war die Verfügung, mit welcher der Rückerstattungsanspruch auf null festgesetzt wurde, im Lichte der Rechtsprechung (vgl. BGE 113 Ib 128 ) allenfalls unrichtig, weil der Steuerverwaltung die Höhe des Wertschriftenvermögens und die daraus fliessenden Erträge aus den in früheren Jahren eingereichten Wertschriftenverzeichnissen dem Grundsatz nach bekannt waren und sie bei der Ermessenstaxation auch entsprechende Beträge einsetzte. Indessen ist die Verfügung nicht angefochten worden und in Rechtskraft erwachsen. Es könnte darauf nur zurückgekommen werden, wenn ein Revisions- bzw. Wiederherstellungsgrund gegeben wäre oder wenn die Einsprachefrist wieder hergestellt werden müsste. Beides ist offensichtlich nicht der Fall und wird in der Beschwerde auch nicht geltend gemacht. Ohnehin wäre fraglich, ob die Beschwerdeführer aus der zitierten Rechtsprechung etwas zu ihren Gunsten ableiten könnten, nachdem sie bereits in den Vorjahren ihre Deklarationspflicht vernachlässigt haben (vgl. auch BGE 113 Ib 128 E. 2c S. 130 f.).</w:t>
      </w:r>
    </w:p>
    <w:p>
      <w:r>
        <w:rPr>
          <w:b/>
        </w:rPr>
        <w:t>E. 3.3</w:t>
      </w:r>
    </w:p>
    <w:p>
      <w:r>
        <w:t>Dass der Entscheid über den Rückerstattungsanspruch bei der Verrechnungssteuer mit der ordentlichen Veranlagung verbunden wurde, entspricht allgemeiner Übung (vgl. Art. 52 Abs. 2 des Bundesgesetzes über die Verrechnungssteuer vom 13. Oktober 1965, VStG, SR 642.21StG) und hat ebenfalls keine Nichtigkeit der Verfügung vom 12. Dezember 2002 zur Folge. Die Besonderheit bei diesem Vorgehen besteht lediglich darin, dass die Verwaltung über den Rückerstattungsanspruch befunden hat, obschon ein solcher Antrag nicht gestellt wurde. Die Beschwerdeführer gingen damit ihres Rechts, den Rückerstattungsanspruch zu beziffern, verlustig. Im Kanton Appenzell bestand indessen - entsprechend oder analog Art. 31 Abs. 3 VStG - bereits früher die Praxis, dass antragslos zurückerstattet wird, wenn bis zum 31. März, d.h. mit der Steuererklärung, kein Rückerstattungsantrag vorliegt (vgl. W. Robert Pfund/Bernhard Zwahlen, Verrechnungssteuer II. Teil, Basel 1985, N 5.3 zu Art. 29 Abs. 4 VStG ). Im vorliegenden Fall reichten die Beschwerdeführer für das Steuerjahr 2001 (Übergangsjahr wegen Wechsels des Bemessungssystems) trotz Mahnungen vom 23. November 2001, 5. April 2002, 22. August 2002 und 16. Oktober 2002 weder die Steuererklärung 2001a noch 2001b ein. Wenn daher die Steuerverwaltung gleichzeitig mit der Veranlagungsverfügung und ohne Rückerstattungsantrag über den Anspruch befand, ist das unter den gegebenen Umständen kein Mangel, welcher die Annahme von Nichtigkeit rechtfertigen würde, zumal die Beschwerdeführer die Möglichkeit hatten, Einsprache zu erheben, worauf sie ausdrücklich hingewiesen wurden.</w:t>
      </w:r>
    </w:p>
    <w:p>
      <w:r>
        <w:rPr>
          <w:b/>
        </w:rPr>
        <w:t>E. 4</w:t>
      </w:r>
    </w:p>
    <w:p>
      <w:r>
        <w:t>Die Beschwerde ist unbegründet und daher abzuweisen. Die Gerichtskosten sind den Beschwerdeführern aufzuerlegen; sie haften hierfür solidarisch ( Art. 153, 153a und 156 Abs. 1 und 7 OG ). Ein Anspruch auf Parteientschädigung besteht nicht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