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2A.11/2001 vom 5. Juni 2001</w:t>
      </w:r>
    </w:p>
    <w:p>
      <w:r>
        <w:t>Bundesgericht, 2001-06-05, FR</w:t>
      </w:r>
    </w:p>
    <w:p>
      <w:r>
        <w:rPr>
          <w:b/>
        </w:rPr>
        <w:t xml:space="preserve">Quelle: </w:t>
      </w:r>
      <w:r>
        <w:t>https://mcp.opencaselaw.ch/entscheid/bger_2A.11_2001</w:t>
      </w:r>
    </w:p>
    <w:p>
      <w:r>
        <w:t>FR: TF 2A.11/2001 du 5 juin 2001</w:t>
      </w:r>
    </w:p>
    <w:p>
      <w:r>
        <w:t>IT: TF 2A.11/2001 del 5 giugno 2001</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126 III 274 consid. 1 p. 275; 125 I 412 consid. 1a p. 414). Vu le caractère subsidiaire du recours de droit public ( art. 84 al. 2 OJ ), il convient d'examiner d'abord si la voie du recours de droit administratif est ouverte. Si tel est le cas, le recours de droit public est exclu. a) 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126 I 81 consid. 1a p. 83). aa) L' art. 17 al. 2 1 ère phrase LSEE dispose que le conjoint d'un étranger possédant l'autorisation d'établissement a droit à l'autorisation de séjour aussi longtemps que les époux vivent ensemble. Selon l' art. 17 al. 2 3 ème phrase LSEE, si un étranger possède l'autorisation d'établissement, ses enfants célibataires âgés de moins de dix-huit ans ont le droit d'être inclus dans l'autorisation d'établissement aussi longtemps qu'ils vivent auprès de leurs parents. La recourante est mariée à un ressortissant yougoslave bénéficiant d'une autorisation d'établissement en Suisse. Les époux A.________ font ménage commun. Leur fils B.________, né en 1999, vit avec eux. Le recours est donc recevable comme recours de droit administratif au regard de l' art. 17 al. 2 LSEE , la question de savoir si les conditions pour la délivrance d'autorisations de séjour sont, ou non, remplies étant une question de fond et non de recevabilité (cf. ATF 119 Ib 81 consid. 2a p. 84; 118 Ib 153 consid. 2a p. 158). bb) 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le droit de s'établir en Suisse (en principe nationalité suisse ou autorisation d'établissement) soit étroite et effective ( ATF 122 II 1 consid. 1e p. 5). Ces conditions sont remplies en l'espèce (cf. ci-dessus, lettre a/aa), de sorte que le recours est aussi recevable sous cet angle en tant que recours de droit administratif. b) Le présent recours, qui respecte au surplus les conditions formelles prescrites par la loi, est recevable en tant que recours de droit administratif, de sorte que la voie du recours de droit public n'est pas ouverte.</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l'arrêt entrepris, le droit fédéral ne prévoyant pas un tel examen en la matière (art. 104 lettre c ch. 3 OJ). Les recourants se plaignent que le Tribunal administratif ait violé le principe de l'interdiction de l'arbitraire garanti par l' art. 4 aCst. (cf. l' art. 9 Cst. ), c'est-à-dire qu'il ait excédé ou abusé de son pouvoir d'appréciation.</w:t>
      </w:r>
    </w:p>
    <w:p>
      <w:r>
        <w:rPr>
          <w:b/>
        </w:rPr>
        <w:t>E. 3</w:t>
      </w:r>
    </w:p>
    <w:p>
      <w:r>
        <w:t>a) Le droit à une autorisation de séjour dans le cadre d'un regroupement familial qui est reconnu par l' art. 17 al. 2 LSEE n'est pas absolu. Il s'éteint si l'ayant droit a enfreint l'ordre public et, évidemment, s'il existe un motif d'expulsion ( art. 10 al. 1 LSEE ). Cependant, pour que le regroupement familial puisse être refusé en raison du motif d'expulsion figurant à l'art. 10 al. 1 lettre d LSEE, il faut qu'il existe un danger concret que les membres de la famille tombent d'une manière continue et dans une large mesure à la charge de l'assistance publique. Le simple risque n'est pas suffisant (cf. ATF 122 II 1 consid. 3c p. 8; 119 Ib 81 consid. 2d p. 87). La notion d'assistance publique doit être interprétée dans un sens technique (arrêt non publié du 2 novembre 1999 en la cause Munoz Carrasco, consid. 4b). C'est dire qu'elle comprend l'aide sociale traditionnelle et les revenus minima d'aide sociale à l'exclusion des prestations d'assurances sociales, comme les indemnités de chômage.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 ATF 122 II 1 consid. 3c p. 8; 119 Ib 1 consid. 3c p. 6/7). Comme le regroupement familial vise à réunir une même famille, il faut prendre en compte la disponibilité de chacun de ses membres à participer financièrement à cette communauté et à réaliser un revenu. Celui-ci doit être concret et vraisemblable et, autant que possible, ne pas apparaître purement temporaire ( ATF 122 II 1 consid. 3c p. 8/9). b) D'après une attestation émise le 29 avril 1999 par le Service social et du travail de la Ville de Lausanne (ciaprès: le Service communal), A.________ a bénéficié de l'aide sociale vaudoise à partir du mois de novembre 1998. Selon une attestation du Service communal du 26 juillet 1999, la dette de la famille A.________ s'élevait à cette date à 36'030, 55 fr. En outre, depuis le 1er décembre 1999, A.________ reçoit un revenu minimum de réinsertion mensuel de 3'098, 10 fr. pour couvrir les besoins de sa famille. Par ailleurs, il aurait eu un emploi auprès de C.________ durant onze semaines au maximum à partir du 7 février 2000 et l'on peut considérer qu'il n'a plus ou plus autant recouru à l'assistance publique pendant cette période, bien que cela ne ressorte pas du dossier. Quant à la recourante, elle aurait travaillé en qualité de femme de chambre pour D.________ du 1er juillet au 27 août 2000. De plus, elle aurait été engagée par E.________ comme employée d'entretien à partir du 4 septembre 2000 et travaillerait dix heures par semaine pour une rémunération horaire de 14,03 fr. Enfin, dans le délai imparti, les intéressés n'ont pas produit devant l'autorité intimée des pièces établissant que A.________ percevait un salaire ou faisait l'objet d'une demande de main-d'oeuvre étrangère ni d'attestation prouvant que le couple A.________ ne bénéficiait plus d'un revenu minimum de réinsertion. Dès lors, le Tribunal administratif était en droit de considérer que les conditions de l'art. 10 al. 1 lettre d LSEE étaient remplies en l'espèce. Il a cependant relevé qu'il était difficile pour la recourante et son mari, qui n'avaient apparemment pas de formation professionnelle, de trouver un emploi stable, en dépit de la légère amélioration de la situation économique et du marché de l'emploi. Enfin, contrairement à ce que croient les recourants, il ne pouvait pas prendre en compte les efforts des époux A.________ pour améliorer leur situation financière, alors qu'il n'y a pas trace de ces efforts au dossier. En effet, les recourants n'ont pas produit devant l'autorité intimée des pièces permettant d'établir "qu'ils émargent de moins en moins à l'assistance publique", si ce n'est les documents relatifs aux engagements de la recourante qui sont mentionnés dans l'arrêt entrepris.</w:t>
      </w:r>
    </w:p>
    <w:p>
      <w:r>
        <w:rPr>
          <w:b/>
        </w:rPr>
        <w:t>E. 4</w:t>
      </w:r>
    </w:p>
    <w:p>
      <w:r>
        <w:t>a) Le droit au respect de la vie privée et familiale garanti par l' art. 8 par. 1 CEDH n'est pas absolu. 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une autorisation de séjour au conjoint étranger d'une personne bénéficiant d'une autorisation d'établissement, respectivement à son enfant, sur la base de l'art. 10 al. 1 lettre d LSEE suppose une pesée des intérêts en présence en vertu de l' art. 8 par. 2 CEDH , comme d'ailleurs de l' art. 17 al. 2 LSEE (cf. ATF 120 Ib 129 consid. 4a et 4b p. 131). b) aa) Les recourants reprochent au Tribunal administratif de n'avoir pas tenu compte, dans cette pesée des intérêts en présence, de ce que A.________ avait passé l'essentiel de sa vie en Suisse et n'avait plus d'attache concrète et réelle dans son pays d'origine. Au moment où l'arrêt attaqué est tombé, A.________ avait vécu un peu moins de temps en Suisse que dans sa patrie. De plus, c'est dans son pays d'origine qu'il a passé toute son enfance et le début de son adolescence. Or, ces années sont capitales car c'est à ce moment que l'être humain est le plus perméable à la culture qui l'entoure. En outre, le fait qu'il se soit marié avec une compatriote en République fédérale de Yougoslavie prouve qu'il a gardé des contacts avec son pays d'origine. Dès lors, il lui serait possible - même si c'est difficile - de suivre sa femme et son fils dans sa patrie. bb) Les intéressés se plaignent aussi que le Tribunal administratif n'ait pas pris en considération l'importance pour l'enfant B.________ "de pouvoir jouir d'une cellule familiale stable et regroupée", lui permettant de voir quotidiennement non seulement sa mère, mais encore son père. Sans nier l'importance pour tout enfant de pouvoir vivre avec ses deux parents, le Tribunal fédéral constate qu'au moment où l'autorité intimée a statué, l'enfant B.________ n'avait pas encore deux ans et que, durant la prime enfance, le contact avec la mère est prépondérant. Au demeurant, comme on l'a vu, la séparation pourrait être évitée si le père suivait sa famille. cc) Compte tenu de ce qui vient d'être dit et de la situation financière de la famille A.________ (cf. ci-dessus, consid. 3b), le Tribunal administratif n'a pas abusé de son pouvoir d'appréciation en estimant que l'intérêt public à limiter les dépenses d'assistance publique l'emportait sur l'intérêt des recourants à pouvoir vivre en famille enSuisse.</w:t>
      </w:r>
    </w:p>
    <w:p>
      <w:r>
        <w:rPr>
          <w:b/>
        </w:rPr>
        <w:t>E. 5</w:t>
      </w:r>
    </w:p>
    <w:p>
      <w:r>
        <w:t>Vu ce qui précède, le recours doit être rejeté. 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