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2A.119/2001 vom 15. Oktober 2001</w:t>
      </w:r>
    </w:p>
    <w:p>
      <w:r>
        <w:t>Bundesgericht, 2001-10-15, DE</w:t>
      </w:r>
    </w:p>
    <w:p>
      <w:r>
        <w:rPr>
          <w:b/>
        </w:rPr>
        <w:t xml:space="preserve">Quelle: </w:t>
      </w:r>
      <w:r>
        <w:t>https://mcp.opencaselaw.ch/entscheid/bger_2A.119_2001</w:t>
      </w:r>
    </w:p>
    <w:p>
      <w:r>
        <w:t>FR: TF 2A.119/2001 du 15 octobre 2001</w:t>
      </w:r>
    </w:p>
    <w:p>
      <w:r>
        <w:t>IT: TF 2A.119/2001 del 15 ottobre 2001</w:t>
      </w:r>
    </w:p>
    <w:p>
      <w:pPr>
        <w:pStyle w:val="Heading2"/>
      </w:pPr>
      <w:r>
        <w:t>Regeste</w:t>
      </w:r>
    </w:p>
    <w:p>
      <w:r>
        <w:t>Bürgerrecht und Ausländerrecht</w:t>
      </w:r>
    </w:p>
    <w:p>
      <w:pPr>
        <w:pStyle w:val="Heading2"/>
      </w:pPr>
      <w:r>
        <w:t>Erwägungen</w:t>
      </w:r>
    </w:p>
    <w:p>
      <w:r>
        <w:rPr>
          <w:b/>
        </w:rPr>
        <w:t>E. 1</w:t>
      </w:r>
    </w:p>
    <w:p>
      <w:r>
        <w:t>a) Gegen die sich auf Art. 10 des Bundesgesetzes vom 26. März 1931 über Aufenthalt und Niederlassung der Ausländer (ANAG; SR 142. 20) stützende Ausweisungsverfügung ist die Verwaltungsgerichtsbeschwerde zulässig (Art. 100 Abs. 1 lit. b Ziff. 4 OG e contrario; BGE 114 Ib E. 1a S. 2). b) Mit der Verwaltungsgerichtsbeschwerde kann die Verletzung von Bundesrecht, einschliesslich Überschreitung oder Missbrauch des Ermessens, sowie die unrichtige oder unvollständige Feststellung des rechtserheblichen Sachverhaltes gerügt werden ( Art. 104 lit. a und b OG ). Ausgeschlossen ist die Rüge, der angefochtene Entscheid sei unangemessen ( Art. 104 lit. c OG ). 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Verfahrensbestimmungen erhoben hat ( BGE 124 II 361 E. 2a S. 365; 122 II 385 E. 2 S. 390). Da im vorliegenden Fall der angefochtene Entscheid durch ein Gericht erging, gelangt Art. 105 Abs. 2 OG zur Anwendung. Damit können auch nachträgliche Veränderungen des Sachverhalts nicht berücksichtigt werden bzw. sind neue tatsächliche Vorbringen im bundesgerichtlichen Verfahren ausgeschlossen, soweit sie nicht von der Vorinstanz von Amtes wegen hätten beachtet werden müssen und ihre Nichtberücksichtigung auf eine Verletzung wesentlicher Verfahrensbestimmungen hinausläuft ( BGE 122 II 299 E. 5d S. 310 mit Hinweisen; 121 II 97 S. 99 E. 1c, mit Hinweisen).</w:t>
      </w:r>
    </w:p>
    <w:p>
      <w:r>
        <w:rPr>
          <w:b/>
        </w:rPr>
        <w:t>E. 2</w:t>
      </w:r>
    </w:p>
    <w:p>
      <w:r>
        <w:t>a) 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 201). Die Frage, ob die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(Opportunität; vgl. BGE 116 Ib 353 E. 2b) der Ausweisung - an die Stelle desjenigen der zuständigen kantonalen Behörde zu setzen ( BGE 125 II 105 E. 2a S. 107, mit Hinweisen). b)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nicht ausgeschlossen. Erst recht gilt dies für Ausländer, die - wie die Beschwerdeführerin - als Kind oder Jugendliche(r) in die Schweiz gelangt sind ( BGE 125 II 521 E. 2b S. 523 f., mit Hinweisen). Die Ausweisung ist im Übrigen eher zulässig, wenn der Ausländer, obwohl er seit längerer Zeit in der Schweiz wohnt, sich nicht integriert hat, hauptsächlich mit Landsleuten zusammen ist und enge Beziehungen zu seinem Heimatland pflegt sowie dessen Sprache spricht (vgl. Alain Wurzburger, La jurisprudence récente du Tribunal fédéral en matière de police des étrangers, in RDAF 53/1997, S. 314, mit Hinweisen).</w:t>
      </w:r>
    </w:p>
    <w:p>
      <w:r>
        <w:rPr>
          <w:b/>
        </w:rPr>
        <w:t>E. 3</w:t>
      </w:r>
    </w:p>
    <w:p>
      <w:r>
        <w:t>Die Beschwerdeführerin rügt, dass die Vorinstanz die Tatsache, dass sie am 10. Juli 2000 einen Arbeitsvertrag mit dem Krankenheim X.________ abgeschlossen hat und dort auf den 7. August 2000 mit einem Pensum von 100% als Pflegehelferin SRK auf unbestimmte Zeit eingestellt worden ist, nicht berücksichtigt und damit den rechtserheblichen Sachverhalt nicht vollständig festgestellt habe. Wie es sich damit verhält, kann offen bleiben, da der angefochtene Entscheid auch vor Bundesrecht standhalten würde, wenn das Verwaltungsgericht den Arbeitsvertrag vom 10. Juli 2000 hätte berücksichtigen müssen.</w:t>
      </w:r>
    </w:p>
    <w:p>
      <w:r>
        <w:rPr>
          <w:b/>
        </w:rPr>
        <w:t>E. 4</w:t>
      </w:r>
    </w:p>
    <w:p>
      <w:r>
        <w:t>a) Mit der Verurteilung zu einer Gefängnisstrafe von 27 Monaten ist ein Ausweisungsgrund gemäss Art. 10 Abs. 1 lit. a ANAG gegeben. Die von der Beschwerdeführerin begangenen Straftaten wiegen nicht leicht: Das Bezirksgericht Zürich ist in seinem Urteil vom 20. Mai 1998 von einem schweren Verschulden ausgegangen. Aus dem Urteil geht hervor, dass sich die Beschwerdeführerin an der Einfuhr von mehreren Kilogramm Kokain beteiligt hat sowie zusammen mit ihrem zwölf Jahre älteren Ehemann auch einen schwunghaften Handel mit Kokain betrieben und neben der Einfuhr auch an der Lagerung und am Verkauf mitgewirkt hat. Sie sei zwar nicht die treibende Kraft im gemeinsam mit ihrem Mann betriebenen Kokainhandel gewesen, habe aber zweifellos im Gefüge um ihren Ehegatten eine nicht zu unterschätzende Rolle gespielt; zu berücksichtigen sei dabei auch, dass die Beschwerdeführerin selber nicht drogensüchtig gewesen sei und offensichtlich aus rein finanziellen Motiven gehandelt habe. Das Gericht hielt der Beschwerdeführerin, die zum Tatzeitpunkt noch nicht 20 Jahre alt gewesen war, hingegen strafmildernd zugute, dass sie ihrer Lebenssituation und den Problemen mit ihrem zwölf Jahre älteren Ehemann sowie der Arbeitslosigkeit aufgrund ihrer Schwangerschaft und der damit zusammen hängenden Abhängigkeit nicht gewachsen war und noch nicht die volle Einsicht in das Unrecht ihrer Taten besessen habe. Es besteht nach dem Gesagten ein gewichtiges öffentliches Interesse an der Fernhaltung der Beschwerdeführerin von der Schweiz. b) Die Beschwerdeführerin reiste 1992 im Alter von 14 Jahren zu ihrer Mutter in die Schweiz ein; sie besuchte zuerst die Realschule in I.________/SZ und anschliessend eine Privatschule in F.________, schloss aber keine Berufsbildung ab. Anschliessend arbeitete sie im Krankenheim X.________, im Spital in G.________ und in einem Krankenheim in H.________. Diese Stelle gab sie wegen ihrer Schwangerschaft auf. Seit ihrer Schwangerschaft war sie als arbeitslos gemeldet und wurde vom Sozialamt unterstützt, arbeitete aber gleichzeitig unregelmässig in verschiedenen Massagesalons. Sie bezog ab 1996 öffentliche Unterstützung im Umfang von ca. Fr. 74'000.--. Seit der Entlassung aus dem Strafvollzug lebt die Beschwerdeführerin mit ihrer Mutter und dem heute fünfjährigen Sohn, seit ihrer Heirat 1999 zudem mit ihrem Ehemann im gleichen Haushalt. Eine Trennung der Beschwerdeführerin von ihrer Mutter, die während des Strafvollzugs die Betreuung von D.________ übernommen hat und nach wie vor eine sehr wichtige Rolle für den Buben spielt, und die als Schweizer Bürgerin wohl kaum ihrer Tochter ins Ausland folgen würde, wird ohne Zweifel sowohl für die Beschwerdeführerin wie auch für den Sohn D.________ schwierig sein. Hingegen kann nicht gesagt werden, dass die Ausweisung der Beschwerdeführerin aus der Schweiz eine Trennung von ihrem zweiten Ehemann bedeuten würde, verfügt dieser doch ohnehin nicht über ein gefestigtes Aufenthaltsrecht in der Schweiz, sondern nur über eine Jahresaufenthaltsbewilligung, und es ist zweifelhaft, ob ihm diese nach der Ausreise seiner Ehefrau noch verlängert würde. Im Übrigen musste dem Ehemann im Zeitpunkt der Heirat klar sein, dass der weitere Aufenthalt seiner zukünftigen Ehefrau in der Schweiz aufgrund ihrer Straftaten nicht gesichert war. Angesichts der Schwere der begangenen Drogendelikte, zumal die Beschwerdeführerin selber nicht drogenabhängig war, sowie der Tatsache, dass sie in erheblichem Masse von der öffentlichen Hand unterstützt werden musste, überwiegt im vorliegenden Fall das öffentliche Interesse an der Fernhaltung der Beschwerdeführerin aus der Schweiz deren privates Interesse an einem Verbleib in diesem Land. An dieser Beurteilung vermöchte auch die Tatsache, dass sie sich in letzter Zeit beruflich zu stabilisieren scheint und auf den</w:t>
      </w:r>
    </w:p>
    <w:p>
      <w:r>
        <w:rPr>
          <w:b/>
        </w:rPr>
        <w:t>E. 7</w:t>
      </w:r>
    </w:p>
    <w:p>
      <w:r>
        <w:t>Die Beschwerdeführerin beruft sich auch auf Art. 9 des Übereinkommens vom 20. November 1989 über die Rechte des Kindes (UNO-Kinderrechtekonvention; SR 0.107). Das Bundesgericht hat jedoch festgehalten, dass sich der UNO-Kinderrechtekonvention in Bezug auf die Erteilung von fremdenpolizeilichen Bewilligungen keine gerichtlich durchsetzbaren Ansprüche entnehmen lassen ( BGE 126 II 377 E. 5d S. 391 f.; 124 II 361 E. 3b S. 367, mit Hinweisen).</w:t>
      </w:r>
    </w:p>
    <w:p>
      <w:r>
        <w:rPr>
          <w:b/>
        </w:rPr>
        <w:t>E. 8</w:t>
      </w:r>
    </w:p>
    <w:p>
      <w:r>
        <w:t>Die Verwaltungsgerichtsbeschwerde ist nach dem Gesagten abzuweisen. Gemäss diesem Verfahrensausgang wird die unterliegende Beschwerdeführerin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