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2A.116/2001 vom 28. Juni 2001</w:t>
      </w:r>
    </w:p>
    <w:p>
      <w:r>
        <w:t>Bundesgericht, 2001-06-28, FR</w:t>
      </w:r>
    </w:p>
    <w:p>
      <w:r>
        <w:rPr>
          <w:b/>
        </w:rPr>
        <w:t xml:space="preserve">Quelle: </w:t>
      </w:r>
      <w:r>
        <w:t>https://mcp.opencaselaw.ch/entscheid/bger_2A.116_2001</w:t>
      </w:r>
    </w:p>
    <w:p>
      <w:r>
        <w:t>FR: TF 2A.116/2001 du 28 juin 2001</w:t>
      </w:r>
    </w:p>
    <w:p>
      <w:r>
        <w:t>IT: TF 2A.116/2001 del 28 giugno 2001</w:t>
      </w:r>
    </w:p>
    <w:p>
      <w:pPr>
        <w:pStyle w:val="Heading2"/>
      </w:pPr>
      <w:r>
        <w:t>Erwägungen</w:t>
      </w:r>
    </w:p>
    <w:p>
      <w:r>
        <w:rPr>
          <w:b/>
        </w:rPr>
        <w:t>E. 1</w:t>
      </w:r>
    </w:p>
    <w:p>
      <w:r>
        <w:t>a) Le Tribunal fédéral examine d'office et librement si le recours dont il est saisi doit être traité comme un recours de droit administratif ou comme un recours de droit public ( ATF 118 Ib 326 consid. 1 p. 329). Il est dès lors sans importance que la recourante n'ait pas précisé dans son mémoire la voie de droit qu'elle entendait utiliser. Le recours de droit public ayant un caractère subsidiaire ( art. 84 al. 2 OJ ), il convient d'examiner d'abord si le présent recours est recevable en tant que recours de droit administratif.</w:t>
      </w:r>
    </w:p>
    <w:p>
      <w:r>
        <w:t>b) Selon l'art. 100 al. 1 lettre b ch. 3 OJ, le recours de droit administratif n'est pas recevable en matière de police des étrangers contre l'octroi ou le refus d'autorisations auxquelles le droit fédéral ne confère pas un droit.</w:t>
      </w:r>
    </w:p>
    <w:p>
      <w:r>
        <w:t>D'après l'art. 4 de la loi fédérale du 26 mars 1931 sur le séjour et l'établissement des étrangers (LSEE; RS 142. 20), les autorités compétentes statuent librement, dans le cadre des prescriptions légales et des traités avec l'étranger, sur l'octroi ou le refus d'autorisations de séjour ou d'établissement.</w:t>
      </w:r>
    </w:p>
    <w:p>
      <w:r>
        <w:t>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126 I 81 consid. 1a p. 83).</w:t>
      </w:r>
    </w:p>
    <w:p>
      <w:r>
        <w:t>aa) D'après l' art. 7 al. 1 LSEE , le conjoint étranger d'un ressortissant suisse a droit à l'octroi et à la prolongation de l'autorisation de séjour. Selon la jurisprudence, pour juger de la recevabilité du recours de droit administratif, seule est déterminante la question de savoir si un mariage au sens formel existe ( ATF 124 II 289 consid. 2b p. 291).</w:t>
      </w:r>
    </w:p>
    <w:p>
      <w:r>
        <w:t>La recourante a obtenu une autorisation de séjour en raison de son mariage avec un Suisse. Cependant, ce mariage a été dissous par le divorce. Dès lors, le présent recours est irrecevable au regard de l' art. 7 al. 1 LSEE .</w:t>
      </w:r>
    </w:p>
    <w:p>
      <w:r>
        <w:t>bb) 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le droit de s'établir en Suisse (en principe nationalité suisse ou autorisation d'établissement) soit étroite et effective ( ATF 122 II 1 consid. 1e p. 5).</w:t>
      </w:r>
    </w:p>
    <w:p>
      <w:r>
        <w:t>La recourante a un fils de nationalité suisse, qui vit avec son père en Suisse. Elle n'a pas l'autorité parentale sur cet enfant ni sa garde. Elle ne participe pas à son entretien contrairement à ce qui a été ordonné dans le jugement de divorce, mais elle exerce actuellement son droit de visite sur lui. On peut douter qu'elle entretienne avec ce fils une relation étroite et effective protégée par l' art. 8 CEDH et que le présent recours soit par conséquent recevable. Toutefois, cette question peut rester indécise car le recours doit de toute façon être rejeté.</w:t>
      </w:r>
    </w:p>
    <w:p>
      <w:r>
        <w:t>c) Au surplus, déposé en temps utile et dans les formes prescrites par la loi, le présent recours est en principe recevable comme recours de droit administratif en vertu des art. 97 ss OJ .</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l'arrêt entrepris, le droit fédéral ne prévoyant pas un tel examen en la matière (art. 104 lettre c ch. 3 OJ).</w:t>
      </w:r>
    </w:p>
    <w:p>
      <w:r>
        <w:rPr>
          <w:b/>
        </w:rPr>
        <w:t>E. 3</w:t>
      </w:r>
    </w:p>
    <w:p>
      <w:r>
        <w:t>a) Le droit au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publics et privés en présence ( ATF 122 II 1 consid. 2 p. 5/6; 120 Ib 22 consid. 4a p. 25). Il faut qu'il existe des liens familiaux vraiment forts dans les domaines affectif et économique pour que l'intérêt public à une politique restrictive en matière de séjour des étrangers et d'immigration passe au second plan ( ATF 120 Ib 1 consid. 3c p. 5).</w:t>
      </w:r>
    </w:p>
    <w:p>
      <w:r>
        <w:t>En ce qui concerne l'intérêt privé à l'octroi d'une autorisation de séjour, il faut constater qu'un droit de visite peut en principe être exercé même si le parent intéressé vit à l'étranger, au besoin en aménageant les modalités de ce droit pour ce qui touche à sa fréquence et à sa durée. Ala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 ATF 120 Ib 22 consid. 4a p. 25).</w:t>
      </w:r>
    </w:p>
    <w:p>
      <w:r>
        <w:t>b) Lorsque le Tribunal civil d'arrondissement de la Singine a prononcé le divorce des époux A.________, le 14 mai 1999, S.________ était un enfant de seize mois seulement.</w:t>
      </w:r>
    </w:p>
    <w:p>
      <w:r>
        <w:t>Pourtant, contrairement à ce qui est usuel pour un enfant de cet âge, il n'a été placé ni sous la garde ni sous l'autorité parentale de sa mère. Cela s'explique toutefois dans la mesure où la relation entre la recourante et son second fils n'atteignait pas l'intensité habituelle d'un tel lien. Depuis lors, la situation a évolué; l'intéressée exerce son droit de visite, mais elle ne remplit pas ses obligations économiques à l'égard de S.________. En réalité, elle n'a jamais versé la pension alimentaire qu'elle devait payer pour lui. En revanche, l'intéressée, qui est entretenue par son nouvel ami, arrive à envoyer 700 fr. par mois en Thaïlande pour son fils M.________ et pour d'autres membres de sa famille. De plus, elle dépense chaque mois des centaines de francs (plus de 500 fr., d'après le jugement précité du 14 mai 1999) en communications téléphoniques avec sa patrie, notamment avec M.________ qu'elle appellerait tous les quatre jours environ.</w:t>
      </w:r>
    </w:p>
    <w:p>
      <w:r>
        <w:t>On ne comprend dès lors pas pourquoi la recourante n'arrive pas à contribuer financièrement à l'entretien de S.________.</w:t>
      </w:r>
    </w:p>
    <w:p>
      <w:r>
        <w:t>Au demeurant, si l'intéressée ne peut ou ne veut pas utiliser l'argent que lui donne son ami pour S.________, il lui incombe de gagner l'argent nécessaire à l'entretien de son second fils. Il est vrai que l'absence d'autorisation de séjour peut compliquer la recherche d'un emploi. Cependant, la recourante n'a pas apporté la preuve qu'elle avait effectué des démarches sérieuses pour obtenir un emploi. Force est donc de constater qu'elle n'a pas fourni les efforts nécessaires pour avoir une relation économique étroite avec son fils S.________.</w:t>
      </w:r>
    </w:p>
    <w:p>
      <w:r>
        <w:t>Un départ de l'intéressée pour son pays d'origine compliquerait certes l'exercice de son droit de visite sur S.________ qui pourrait toutefois s'effectuer dans le cadre de séjours à but touristique. D'ailleurs, la Thaïlande étant une destination touristique, les voyages entre ce pays et la Suisse pourraient vraisemblablement s'effectuer à des prix relativement modérés. En outre, il ressort du dossier que, bien qu'en Suisse, la recourante a su maintenir sa relation avec son fils M.________ qui vit en Thaïlande; dès lors, on ne voit pas pourquoi elle ne pourrait pas, de Thaïlande, garder des contacts avec S.________ vivant en Suisse, même si c'est au foyer de son ex-mari et non dans sa propre famille.</w:t>
      </w:r>
    </w:p>
    <w:p>
      <w:r>
        <w:t>Ainsi, il apparaît que l'intérêt public à pratiquer une politique restrictive en matière de séjour des étrangers et d'immigration - en particulier pour assurer un rapport équilibré entre l'effectif de la population suisse et celui de la population étrangère résidante ainsi que pour améliorer la situation du marché du travail et assurer un équilibre optimum en matière d'emploi (cf. ATF 120 Ib 1 consid. 5 p. 4/5) -, c'est-à-dire en l'espèce à ne pas prolonger l'autorisation de séjour de l'intéressée qui, résidant en Suisse depuis le printemps 1995, n'a jamais gardé d'emploi durable et n'arrive que difficilement à s'exprimer dans une langue nationale, l'emporte sur l'intérêt de la recourante à pouvoir rester en Suisse où vit son second fils sur lequel elle a un droit de visite.</w:t>
      </w:r>
    </w:p>
    <w:p>
      <w:r>
        <w:rPr>
          <w:b/>
        </w:rPr>
        <w:t>E. 4</w:t>
      </w:r>
    </w:p>
    <w:p>
      <w:r>
        <w:t>Vu ce qui précède, le recours doit être rejeté dans la mesure où il est recevable.</w:t>
      </w:r>
    </w:p>
    <w:p>
      <w:r>
        <w:t>Succombant, la recourante doit supporter les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