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2A.106/2000 vom 15. Oktober 1999</w:t>
      </w:r>
    </w:p>
    <w:p>
      <w:r>
        <w:t>Bundesgericht, 1999-10-15, DE</w:t>
      </w:r>
    </w:p>
    <w:p>
      <w:r>
        <w:rPr>
          <w:b/>
        </w:rPr>
        <w:t xml:space="preserve">Quelle: </w:t>
      </w:r>
      <w:r>
        <w:t>https://mcp.opencaselaw.ch/entscheid/bger_2A.106_2000</w:t>
      </w:r>
    </w:p>
    <w:p>
      <w:r>
        <w:t>FR: TF 2A.106/2000 du 15 octobre 1999</w:t>
      </w:r>
    </w:p>
    <w:p>
      <w:r>
        <w:t>IT: TF 2A.106/2000 del 15 ottobre 1999</w:t>
      </w:r>
    </w:p>
    <w:p>
      <w:pPr>
        <w:pStyle w:val="Heading2"/>
      </w:pPr>
      <w:r>
        <w:t>Regeste</w:t>
      </w:r>
    </w:p>
    <w:p>
      <w:r>
        <w:t>Bürgerrecht und Ausländerrecht</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auseinandersetzen ( BGE 118 Ib 134 ff.). Bei Laienbeschwerden gegen die Genehmigung der Ausschaffungshaft stellt das Bundesgericht indessen keine hohen Anforderungen an die Beschwerdebegründung (vgl. BGE 122 I 275 E. 3b S. 277). Ist daraus ersichtlich, dass sich der Betroffene - wie hier - (zumindest auch) gegen seine Haft wendet, nimmt es entsprechende Eingaben als Verwaltungsgerichtsbeschwerden entgegen. Gegenstand des vorliegenden Verfahrens bildet ausschliesslich die Rechtmässigkeit der Ausschaffungshaft, nicht auch die Asyl- und Wegweisungsfrage (vgl. BGE 121 II 59 E. 2 S. 61). Soweit der Beschwerdeführer in seiner Eingabe Asylgründe geltend machen oder sich gegen die Wegweisung wehren will, ist darauf nicht einzutreten.</w:t>
      </w:r>
    </w:p>
    <w:p>
      <w:r>
        <w:rPr>
          <w:b/>
        </w:rPr>
        <w:t>E. 2</w:t>
      </w:r>
    </w:p>
    <w:p>
      <w:r>
        <w:t>Die zuständige Behörde kann einen Ausländer in Ausschaffungshaft nehmen bzw. in dieser belassen, wenn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 BGE 121 II 59 E. 2a S. 61), dessen Vollzug (z.B. wegen fehlender Reisepapiere) noch nicht möglich, jedoch absehbar ist. Zudem muss einer der in Art. 13b Abs. 1 ANAG genannten Haftgründe bestehen ( BGE 124 II 1 E. 1 S. 3), die Ausschaffung rechtlich und tatsächlich möglich sein ( Art. 13c Abs. 5 lit. a ANAG ; vgl. BGE 122 II 148 E. 3 S. 152 ff.) und die Papierbeschaffung mit dem nötigen Nachdruck verfolgt werden ( Art. 13b Abs. 3 ANAG ; Beschleunigungsgebot; BGE 124 II 49 ff.). Die Haft darf höchstens drei Monate dauern; stehen dem Vollzug der Wegweisung besondere Hindernisse entgegen, so kann die Haft mit Zustimmung der kantonalen richterlichen Behörde um höchstens sechs Monate verlängert werden ( Art. 13b Abs. 2 ANAG ).</w:t>
      </w:r>
    </w:p>
    <w:p>
      <w:r>
        <w:rPr>
          <w:b/>
        </w:rPr>
        <w:t>E. 3</w:t>
      </w:r>
    </w:p>
    <w:p>
      <w:r>
        <w:t>a) Der stellvertretende Haftrichter geht zu Recht davon aus, dass die Voraussetzungen der Ausschaffungshaft grundsätzlich erfüllt sind: Mit dem Entscheid des Bundesamts für Flüchtlinge vom 15. Oktober 1999 besteht ein erstinstanzlicher Wegweisungsentscheid, dessen Vollzug rechtlich und tatsächlich möglich sowie absehbar ist; dass die auf den 16. Februar 2000 geplante Ausschaffung daran scheiterte, dass der Beschwerdeführer sich weigerte, ins Flugzeug zu steigen, ändert daran nichts. Im Übrigen ist gemäss der Vernehmlassung der Fremdenpolizei der nächste Ausschaffungsversuch schon auf Ende März geplant. Ferner besteht klarerweise der Haftgrund der Untertauchensgefahr, ist doch der Beschwerdeführer in Deutschland unter mehreren - anderen als dem in der Schweiz verwendeten - Namen aufgetreten (vgl. BGE 122 II 49 E. 2a S. 51) und weigert er sich zudem, in seine Heimat zurückzukehren. Insgesamt erscheint die Anordnung der Ausschaffungshaft als bundesrechtskonform.</w:t>
      </w:r>
    </w:p>
    <w:p>
      <w:r>
        <w:rPr>
          <w:b/>
        </w:rPr>
        <w:t>E. 4</w:t>
      </w:r>
    </w:p>
    <w:p>
      <w:r>
        <w:t>a) Die Beschwerde erweist sich damit als offensichtlich unbegründet und ist im vereinfachten Verfahren nach Art. 36a OG mit summarischer Begründung abzuweisen, soweit darauf einzutreten ist. b) Dem Verfahrensausgang entsprechend würde der unterliegende Beschwerdeführer kostenpflichtig (vgl. Art. 156 Abs. 1 OG ). Es rechtfertigt sich indessen, mit Blick auf seine finanziellen Verhältnisse von der Erhebung einer Gerichtsgebühr abzusehen ( Art. 153 Abs. 1 OG ). c) Die Fremdenpolizei des Kantons Bern wird ersucht, sicherzustellen,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