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2A.100/2004 vom 9. Juni 2004</w:t>
      </w:r>
    </w:p>
    <w:p>
      <w:r>
        <w:t>Bundesgericht, 2004-06-09, DE</w:t>
      </w:r>
    </w:p>
    <w:p>
      <w:r>
        <w:rPr>
          <w:b/>
        </w:rPr>
        <w:t xml:space="preserve">Quelle: </w:t>
      </w:r>
      <w:r>
        <w:t>https://mcp.opencaselaw.ch/entscheid/bger_2A.100_2004</w:t>
      </w:r>
    </w:p>
    <w:p>
      <w:r>
        <w:t>FR: TF 2A.100/2004 du 9 juin 2004</w:t>
      </w:r>
    </w:p>
    <w:p>
      <w:r>
        <w:t>IT: TF 2A.100/2004 del 9 giugno 2004</w:t>
      </w:r>
    </w:p>
    <w:p>
      <w:pPr>
        <w:pStyle w:val="Heading2"/>
      </w:pPr>
      <w:r>
        <w:t>Regeste</w:t>
      </w:r>
    </w:p>
    <w:p>
      <w:r>
        <w:t>Öffentliche Finanzen &amp; Abgaberecht</w:t>
      </w:r>
    </w:p>
    <w:p>
      <w:pPr>
        <w:pStyle w:val="Heading2"/>
      </w:pPr>
      <w:r>
        <w:t>Erwägungen</w:t>
      </w:r>
    </w:p>
    <w:p>
      <w:r>
        <w:rPr>
          <w:b/>
        </w:rPr>
        <w:t>E. 1.1</w:t>
      </w:r>
    </w:p>
    <w:p>
      <w:r>
        <w:t>Das Bundesgericht prüft die Zulässigkeit der bei ihm eingereichten Beschwerde von Amtes wegen und mit freier Kognition ( BGE 129 III 225 E. 1 S. 227, mit Hinweis).</w:t>
      </w:r>
    </w:p>
    <w:p>
      <w:r>
        <w:rPr>
          <w:b/>
        </w:rPr>
        <w:t>E. 1.2</w:t>
      </w:r>
    </w:p>
    <w:p>
      <w:r>
        <w:t>Die hier interessierende Steuerperiode liegt noch vor Ablauf der Frist zur Anpassung der kantonalen Gesetzgebung an die Vorschriften des Bundesgesetzes vom 14. Dezember 1990 über die Harmonisierung der direkten Steuern der Kantone und Gemeinden (StHG, SR 642.14). Somit ist der angefochtene Entscheid betreffend die direkte Bundessteuer kantonal letztinstanzlich. Gegen den auf öffentliches Recht des Bundes bzw. auf ausführendes oder in engem Zusammenhang zum Bundesrecht stehendes kantonales Recht gestützten Entscheid steht die Verwaltungsgerichtsbeschwerde offen (Art. 98 lit. f des Bundesgesetzes vom 16. Dezember 1943 über die Bundesrechtspflege [OG; SR 173.110] sowie Art. 146 des Bundesgesetzes vom 14. Dezember 1990 über die direkte Bundessteuer [DBG; SR 621.11]). Der Pflichtige ist durch den angefochtenen Entscheid beschwert und nach Art. 103 lit. a OG zur Beschwerdeführung legitimiert. Auf die form- und fristgerecht eingereichte Beschwerde ist einzutreten.</w:t>
      </w:r>
    </w:p>
    <w:p>
      <w:r>
        <w:rPr>
          <w:b/>
        </w:rPr>
        <w:t>E. 1.3</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 ; 128 11 145 E. 1.2.2 S. 150 f.; 127 II 264 E 1 b S. 268, mit Hinweisen).</w:t>
      </w:r>
    </w:p>
    <w:p>
      <w:r>
        <w:rPr>
          <w:b/>
        </w:rPr>
        <w:t>E. 2.1</w:t>
      </w:r>
    </w:p>
    <w:p>
      <w:r>
        <w:t>Gemäss Art. 43 Abs. 1 DBG bemisst sich das steuerbare Einkommen nach dem durchschnittlichen Einkommen der letzten der Steuerperiode vorangegangenen Kalenderjahre. Aufgrund von Art. 45 lit. b DBG wird eine Zwischenveranlagung durchgeführt bei dauernder und wesentlicher Änderung der Erwerbsgrundlagen infolge Aufnahme oder Aufgabe der Erwerbstätigkeit oder Berufswechsels. Eine Zwischenveranlagung ist vorzunehmen, wenn die qualitativen, zeitlichen und persönlichen Voraussetzungen erfüllt sind, wobei sie aber grundsätzlich die Ausnahme bleiben soll (Urteil 2A.486/2002 vom 31. März 2003, StR 2003, 611 E. 4.1, mit weiteren Hinweisen). Der Wechsel von unselbständiger zu selbständiger Erwerbstätigkeit stellt an sich einen Berufswechsel dar (Peter Locher, Kommentar DBG, Basel/Therwil 2001, N 37 zu Art. 45 DBG ). Nebst dem qualitativen Erfordernis müssen aber auch noch die zeitlichen Voraussetzungen erfüllt sein. "Veränderungen im Einkommen führen nur dann zu einer Zwischenveranlagung, wenn sie voraussichtlich dauerhaft sind. Als voraussichtlich dauerhaft gilt in der Regel eine Veränderung, die mindestens zwei Jahre anhalten wird" (Kreisschreiben der Eidg. Steuerverwaltung vom 17. Dezember 1985 betreffend Wegleitung zur Anwendung der Artikel 42 und 96 [Zwischenveranlagung] des Beschlusses über die direkte Bundessteuer, ASA 54, 432 ff., insb. 438). Diese Praxis gilt auch unter Art. 45 DBG weiter (Peter Agner/Beat Jung/Gotthard Steinmann, Kommentar zum Gesetz über die direkte Bundessteuer, Zürich 1995, N 2 zu Art. 45 DBG ). Wohl wird die Meinung vertreten, diese zweijährige Dauer erscheine als zu lange (Marco Duss/Daniel Schär, Kommentar zum Schweizerischen Steuerrecht, Basel/Genf/München 2000, N 32 zu Art. 45 DBG ). Soll aber die Zwischenveranlagung die Ausnahme bleiben, erscheint diese Frist ohne weiteres vertretbar (vgl. StR 2003, 611 E. 4.1). Allerdings soll die Dauer der Veränderung nicht ex post, sondern aufgrund einer Prognose beurteilt werden (Duss/Schär, a.a.O., N 33 zu Art. 45 DBG unter Hinweis auf E. 5b des in ASA 14 291 veröffentlichten Bundesgerichtsurteils vom 18. Mai 1945 i.S. P.C.). Dabei ist aber gemäss dem erwähnten Kreisschreiben der EStV bei Zweifeln über die Dauerhaftigkeit eine provisorische Veranlagung vorzunehmen, womit die Frage letztlich gleichwohl ex post beurteilt wird. Dieses Vorgehen wird auch in der Literatur als zweckmässig erachtet (vgl. Duss/Schär, a.a.O., N 33 in fine zu Art. 45 DBG ) und ist nicht zu beanstanden.</w:t>
      </w:r>
    </w:p>
    <w:p>
      <w:r>
        <w:rPr>
          <w:b/>
        </w:rPr>
        <w:t>E. 2.2</w:t>
      </w:r>
    </w:p>
    <w:p>
      <w:r>
        <w:t>Der Beschwerdeführer nahm ab dem 1. Januar 1995 eine selbständige Erwerbstätigkeit auf, die an sich auf Dauer vorgesehen war. Ausserordentliche Faktoren führten dazu, dass diese Tätigkeit per 31. Oktober 1996 wieder aufgegeben wurde. Effektiv war der Beschwerdeführer also nur während 22 Monaten selbständig erwerbend. Der Berufswechsel erweist sich somit nachträglich als nicht dauerhaft, weshalb eine Zwischenveranlagung nicht in Betracht kommt.</w:t>
      </w:r>
    </w:p>
    <w:p>
      <w:r>
        <w:rPr>
          <w:b/>
        </w:rPr>
        <w:t>E. 3</w:t>
      </w:r>
    </w:p>
    <w:p>
      <w:r>
        <w:t>Nach dem Gesagten ist die Verwaltungsgerichtsbeschwerde abzuweisen. Bei diesem Verfahrensausgang sind die Gerichtskosten dem Beschwerdeführer aufzuerlegen ( Art. 156 Abs. 1 OG in Verbindung mit Art. 153 u.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