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1S.11/2004 vom 22. November 2004</w:t>
      </w:r>
    </w:p>
    <w:p>
      <w:r>
        <w:t>Bundesgericht, 2004-11-22, DE</w:t>
      </w:r>
    </w:p>
    <w:p>
      <w:r>
        <w:rPr>
          <w:b/>
        </w:rPr>
        <w:t xml:space="preserve">Quelle: </w:t>
      </w:r>
      <w:r>
        <w:t>https://mcp.opencaselaw.ch/entscheid/bger_1S.11_2004</w:t>
      </w:r>
    </w:p>
    <w:p>
      <w:r>
        <w:t>FR: TF 1S.11/2004 du 22 novembre 2004</w:t>
      </w:r>
    </w:p>
    <w:p>
      <w:r>
        <w:t>IT: TF 1S.11/2004 del 22 novembre 2004</w:t>
      </w:r>
    </w:p>
    <w:p>
      <w:pPr>
        <w:pStyle w:val="Heading2"/>
      </w:pPr>
      <w:r>
        <w:t>Regeste</w:t>
      </w:r>
    </w:p>
    <w:p>
      <w:r>
        <w:t>Strafprozess</w:t>
      </w:r>
    </w:p>
    <w:p>
      <w:pPr>
        <w:pStyle w:val="Heading2"/>
      </w:pPr>
      <w:r>
        <w:t>Erwägungen</w:t>
      </w:r>
    </w:p>
    <w:p>
      <w:r>
        <w:rPr>
          <w:b/>
        </w:rPr>
        <w:t>E. 1</w:t>
      </w:r>
    </w:p>
    <w:p>
      <w:r>
        <w:t>Es fragt sich, ob in der vorliegenden Streitsache der Beschwerdeweg ans Bundesgericht offen steht. Das Bundesgericht prüft diese Frage von Amtes wegen und mit freier Kognition ( BGE 130 II 302 E. 3 S. 303 f., 306 E. 1.1 S. 308, je mit Hinweisen).</w:t>
      </w:r>
    </w:p>
    <w:p>
      <w:r>
        <w:rPr>
          <w:b/>
        </w:rPr>
        <w:t>E. 1.1</w:t>
      </w:r>
    </w:p>
    <w:p>
      <w:r>
        <w:t>Art. 33 des Bundesgesetzes über das Bundesstrafgericht (SGG, SR 173.71) ist seit 1. April 2004 in Kraft. Das Bundesstrafgericht übernimmt die Fälle, die bei Inkrafttreten des SGG vor der Anklagekammer des Bundesgerichtes hängig waren ( Art. 33 Abs. 1 SGG ). Hängige Fälle werden nach neuem Recht weitergeführt ( Art. 33 Abs. 2 SGG ). Bis zum Inkrafttreten der hängigen Totalrevision der Bundesrechtspflege (voraussichtlich im Jahr 2007) kann gegen die Entscheide der Beschwerdekammer des Bundesstrafgerichtes über Zwangsmassnahmen innert 30 Tagen seit der Eröffnung wegen Verletzung von Bundesrecht beim Bundesgericht Beschwerde geführt werden. Das Verfahren richtet sich sinngemäss nach den Art. 214-216, 218 und 219 BStP ( Art. 33 Abs. 3 lit. a SGG ; vgl. BGE 130 I 234 E. 2.1 S. 236; 130 II 306 E. 1.2 S. 308 f.).</w:t>
      </w:r>
    </w:p>
    <w:p>
      <w:r>
        <w:rPr>
          <w:b/>
        </w:rPr>
        <w:t>E. 1.2</w:t>
      </w:r>
    </w:p>
    <w:p>
      <w:r>
        <w:t>Mit Beschwerde an das Bundesgericht anfechtbar sind Entscheide der Beschwerdekammer des Bundesstrafgerichtes über strafprozessuale Zwangsmassnahmen ( Art. 33 Abs. 3 lit. a SGG ). Dazu gehören auch Entscheide der Beschwerdekammer über die Anordnung oder Weiterdauer von Haft (vgl. BGE 130 I 234 E. 2.2 S. 236 f.; 130 II 306 E. 1.2.2 S. 308 f.). Kein separates Rechtsmittel an das Bundesgericht steht hingegen zur Verfügung gegen selbstständig eröffnete prozessuale Zwischenentscheide des Bundesstrafgerichtes (vgl. BGE 1S.5/2004 vom 7. September 2004, E. 1.2; 1S.9/2004 vom 23. September 2004, E. 2).</w:t>
      </w:r>
    </w:p>
    <w:p>
      <w:r>
        <w:rPr>
          <w:b/>
        </w:rPr>
        <w:t>E. 2</w:t>
      </w:r>
    </w:p>
    <w:p>
      <w:r>
        <w:t>Es stellt sich hier zunächst die Frage nach dem Streitgegenstand. Das Haftgericht III Bern-Mittelland hat sich mit Entscheid vom 3. September 2004 für "nicht zuständig" erklärt. Auch der Beschwerdeführer vertritt die Ansicht, das Haftgericht habe "seinen Entscheid auf die formelle Frage der Zuständigkeit beschränkt" (Beschwerdeschrift, S. 3). Allerdings wurde in der Verfügung des Haftgerichtes nicht bloss verfahrensrechtlich entschieden (Nichteintreten auf den Haftprüfungsantrag wegen Unzuständigkeit). Gleichzeitig verfügte das Haftgericht - inkonsequenterweise - die Haftentlassung des Angeschuldigten. In seiner Begründung bemerkte das Haftgericht beiläufig (in Klammern), dass "die Frist zur Stellung eines Haftantrages mittlerweile abgelaufen" sei. Eine Prüfung der materiellen Haftgründe hat nicht stattgefunden. Die Verfügung des Haftgerichtes wurde denn auch nur sehr summarisch begründet. Das Bundesstrafgericht hat den Nichtzuständigkeitsentscheid des Haftgerichtes III Bern-Mittelland vom 3. September 2004 aufgehoben (Dispositiv Ziff. 1). In den Erwägungen des angefochtenen Entscheides stellt die Beschwerdekammer ausdrücklich fest, das von der Bundesanwaltschaft "angerufene Haftgericht III Bern-Mittelland" sei "gemäss Art. 47 Abs. 2 BStP für die Haftprüfung zuständig". Eine selbstständige förmliche Haftanordnung durch das Bundesstrafgericht erfolgte nicht, nachdem die Bundesanwaltschaft den Angeschuldigten bereits am 3. September 2004 erneut verhaftet hatte. Das Bundesstrafgericht bestätigte den ursprünglichen Haftbefehl der Bundesanwaltschaft vom 25. August 2004 (Dispositiv Ziff. 2). Die Beschwerde gegen den inzwischen dahingefallenen zweiten Haftbefehl vom 3. September 2004 wurde abgeschrieben (Dispositiv Ziff. 3).</w:t>
      </w:r>
    </w:p>
    <w:p>
      <w:r>
        <w:rPr>
          <w:b/>
        </w:rPr>
        <w:t>E. 2.1</w:t>
      </w:r>
    </w:p>
    <w:p>
      <w:r>
        <w:t>Damit liegt hier ein Zwischenentscheid des Bundesstrafgerichtes vor zur Frage der erstinstanzlichen Zuständigkeit im Haftprüfungsverfahren gemäss Art. 47 Abs. 2 BStP . Das Bundesstrafgericht hat entschieden, dass das Haftgericht III Bern-Mittelland für die Haftprüfung zuständig sei. Es hat den Nichteintretensentscheid aufgehoben (Dispositiv Ziffer 1) und den ursprünglichen Haftbefehl der Bundesanwaltschaft vom 25. August 2004 ausdrücklich bestätigt (Dispositiv Ziff. 2). Gemäss dem angefochtenen Entscheid ist der Haftbefehl der Bundesanwaltschaft vom 25. August 2004 weiterhin massgeblich und gültig und hat das Haftgericht III Bern-Mittelland die erstinstanzliche Haftprüfung vorzunehmen. Eine Prüfung der materiellen Haftvoraussetzungen erfolgte in der Verfügung des Haftgerichtes III Bern-Mittelland nicht. Demgemäss bildeten diese auch nicht Gegenstand des angefochtenen Entscheides.</w:t>
      </w:r>
    </w:p>
    <w:p>
      <w:r>
        <w:rPr>
          <w:b/>
        </w:rPr>
        <w:t>E. 2.2</w:t>
      </w:r>
    </w:p>
    <w:p>
      <w:r>
        <w:t>Nach dem Gesagten liegt hier kein materieller zweitinstanzlicher Endentscheid des Bundesstrafgerichtes über Zwangsmassnahmen vor im Sinne von Art. 33 Abs. 3 lit. a SGG . Gegen prozessuale Zwischenentscheide des Bundesstrafgerichtes betreffend sachliche und örtliche Zuständigkeit ist die Beschwerde an das Bundesgericht grundsätzlich nicht gegeben (vgl. auch BBl 2001 S. 4363 f.). Im Bundesgerichtsurteil 1S.5/2004 vom 7. September 2004 (E. 1.2.3) wurde zwar die Frage aufgeworfen und offen gelassen, ob eine Beschwerde an das Bundesgericht - ausnahmsweise - zulässig sein könnte, wenn die Beschwerdekammer bzw. deren Präsident eine Zwangsmassnahme vorsorglich aufheben oder eine solche neu anordnen würde. Die Frage braucht jedoch auch im vorliegenden Fall nicht entschieden zu werden, da sich die Beschwerde nicht gegen eine selbstständige erstmalige Anordnung von Untersuchungshaft richtet. Das Bundesstrafgericht hat die Haft weder selber angeordnet noch aufgehoben. Es hat vielmehr den ursprünglichen Haftbefehl der Bundesanwaltschaft vom 25. August 2004 ausdrücklich bestätigt und das Haftgericht III Bern-Mittelland für die erstinstanzliche Haftprüfung als zuständig erklärt. Es nicht Sache des Bundesgerichtes, sich zu Verfahrensfragen betreffend erstinstanzliche Zuständigkeit zu äussern oder gar eine materielle Haftprüfung vorzunehmen, bevor die erst- und zweitinstanzlichen Haftgerichte die Streitsache materiell sorgfältig geprüft und beurteilt haben. Mit der Einrichtung des Bundesstrafgerichtes wollte der Gesetzgeber nicht zuletzt das Bundesgericht entlasten (vgl. BBl 2001 S. 4225 f.). Eine Anfechtbarkeit von prozessualen Zwischenentscheiden wäre weder mit diesem spezifischen gesetzgeberischen Ziel, noch mit dem allgemeinen Anliegen der Prozessökonomie zu vereinbaren. Dass der Gesetzgeber die Beschwerde gegen Zwischenverfügungen grundsätzlich ausschliessen wollte, ergibt sich im Übrigen auch indirekt aus der gesetzlichen Beschwerdefrist von 30 Tagen. Diese erschiene für eine Anfechtung von Zwischenentscheiden kaum praktikabel bzw. deutlich zu lang (vgl. z.B. Art. 106 Abs. 1 OG ). Eine Notwendigkeit, den Rechtsschutz in dieser Weise auszudehnen, ist umso weniger ersichtlich, als prozessuale Zwischenverfügungen, wie z.B. Zuständigkeitsentscheide, dem materiellen Zwangsmassnahmenentscheid nicht vorgreifen dürfen, weshalb an ihre Begründung nicht die gleichen hohen Anforderungen gestellt werden können, wie sie namentlich für materielle Haftprüfungsentscheide gelten.</w:t>
      </w:r>
    </w:p>
    <w:p>
      <w:r>
        <w:rPr>
          <w:b/>
        </w:rPr>
        <w:t>E. 3</w:t>
      </w:r>
    </w:p>
    <w:p>
      <w:r>
        <w:t>Nach dem Gesagten ist auf die Beschwerde und den darin gestellten Haftentlassungsantrag nicht einzutreten. Art. 219 Abs. 3 BStP wurde durch Ziff. I/4 des Bundesgesetzes vom 19. Dezember 2003 über das Entlastungsprogramm 2003 (mit Wirkung seit 1. April 2004) aufgehoben (AS 2004, 1633, 1647; BBl 2003, 5615). Somit richtet sich die Frage der Kostenfolgen im Verfahren vor Bundesgericht nach den allgemeinen Vorschriften des OG (vgl. Art. 245 BStP ; BGE 130 I 234 E. 5 S. 240; 130 II 306 E. 4 S. 313). Beim vorliegenden Verfahrensausgang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