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1P.85/2005 vom 15. März 2005</w:t>
      </w:r>
    </w:p>
    <w:p>
      <w:r>
        <w:t>Bundesgericht, 2005-03-15, FR</w:t>
      </w:r>
    </w:p>
    <w:p>
      <w:r>
        <w:rPr>
          <w:b/>
        </w:rPr>
        <w:t xml:space="preserve">Quelle: </w:t>
      </w:r>
      <w:r>
        <w:t>https://mcp.opencaselaw.ch/entscheid/bger_1P.85_2005</w:t>
      </w:r>
    </w:p>
    <w:p>
      <w:r>
        <w:t>FR: TF 1P.85/2005 du 15 mars 2005</w:t>
      </w:r>
    </w:p>
    <w:p>
      <w:r>
        <w:t>IT: TF 1P.85/2005 del 15 marzo 2005</w:t>
      </w:r>
    </w:p>
    <w:p>
      <w:pPr>
        <w:pStyle w:val="Heading2"/>
      </w:pPr>
      <w:r>
        <w:t>Erwägungen</w:t>
      </w:r>
    </w:p>
    <w:p>
      <w:r>
        <w:rPr>
          <w:b/>
        </w:rPr>
        <w:t>E. 1</w:t>
      </w:r>
    </w:p>
    <w:p>
      <w:r>
        <w:t>Formé en temps utile contre une décision finale prise en dernière instance cantonale et qui touche le recourant dans ses intérêts juridiquement protégés, le recours est recevable au regard des art. 86 al. 1, 88 et 89 al. 1 OJ. La détermination du recourant du 25 février 2005, déposée après l'échéance du délai de recours et sans qu'un second échange d'écritures n'ait été ordonné, ne peut être prise en considération.</w:t>
      </w:r>
    </w:p>
    <w:p>
      <w:r>
        <w:rPr>
          <w:b/>
        </w:rPr>
        <w:t>E. 2</w:t>
      </w:r>
    </w:p>
    <w:p>
      <w:r>
        <w:t>Le recourant prétend que la Cour d'appel pénal aurait violé l'obligation de motiver ses décisions, déduite de l' art. 29 al. 2 Cst. , en s'écartant des listes de frais qu'il avait produites sans indiquer les opérations qu'elle tenait pour injustifiées et sans l'avoir invité à se déterminer préalablement.</w:t>
      </w:r>
    </w:p>
    <w:p>
      <w:r>
        <w:rPr>
          <w:b/>
        </w:rPr>
        <w:t>E. 2.1</w:t>
      </w:r>
    </w:p>
    <w:p>
      <w:r>
        <w:t>La jurisprudence a notamment déduit du droit d'être entendu, garanti à l' art. 29 al. 2 Cst. , l'obligation pour l'autorité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 ATF 129 I 232 consid. 3.2 p. 236; 126 I 97 consid. 2a p. 102 et les arrêts cités). 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 ATF 111 Ia 1 consid. 2a; 93 I 116 consid. 2 p. 120). En revanche,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(arrêt 1P.194/2004 du 18 juin 2004, consid. 5.3.1 in fine; cf. arrêt du Tribunal fédéral des assurances I 308/98 du 28 juillet 1999 consid. 3c publié in Pra 2000 n° 109 p. 638).</w:t>
      </w:r>
    </w:p>
    <w:p>
      <w:r>
        <w:t>Or, la combinaison des art. 24 al. 1 et 27 de la loi fribourgeoise sur l'assistance judiciaire du 4 octobre 1999 prévoit que l'Etat paie au défenseur d'office un montant équitable fixé, sur présentation de sa liste de frais, par le président de l'autorité judiciaire compétente ou le juge d'instruction, voire par la Cour d'appel pénal, qui tient compte des circonstances de la cause et du nombre des audiences. Cette norme, qui ne s'en tient pas à l'octroi d'une simple indemnité équitable fixée par le juge, a pour conséquence de contraindre l'autorité judiciaire compétente à tenir compte de la liste de frais et à motiver au moins brièvement les postes sur lesquels elle n'entend pas confirmer les montants ou les durées y figurant.</w:t>
      </w:r>
    </w:p>
    <w:p>
      <w:r>
        <w:rPr>
          <w:b/>
        </w:rPr>
        <w:t>E. 2.2</w:t>
      </w:r>
    </w:p>
    <w:p>
      <w:r>
        <w:t>En l'occurrence, la Cour d'appel pénal a estimé que X.________ avait consacré quelque 154 heures et 30 minutes à la défense des intérêts du prévenu et fixé l'indemnité globale équitable à 26'228.20 francs, TVA incluse, alors que le recourant sollicitait une indemnité de 33'776.05 francs. Si elle a pris soin de détailler pour chaque phase de la procédure le temps qu'elle estimait nécessaire à l'accomplissement du mandat d'office, elle n'a en revanche pas précisé les postes de l'état de frais qu'elle jugeait superflus ou pour lesquels le nombre d'heures indiqué était trop élevé. En l'absence de ces indications, le recourant n'était pas en mesure de contester en connaissance de cause l'arrêt de la cour cantonale. Cette dernière a donc failli à l'obligation de motiver les décisions fixant le montant de l'indemnité d'office, telle qu'elle découle de l' art. 29 al. 2 Cst. et de la jurisprudence précitée. La violation du droit d'être entendu du recourant ne peut être réparée dans la présente procédure par la transmission des notes du juge rapporteur auxquelles la Cour d'appel pénal se réfère dans ses observations pour étayer sa décision; si elles permettent de cerner les opérations qui ont été jugées nécessaires à la défense des intérêts du prévenu, elles ne fournissent en revanche aucune indication sur les raisons pour lesquelles ce dernier a écarté d'autres postes de l'état de frais ou tenu certaines des opérations accomplies pour exagérées. L'arrêt attaqué doit par conséquent être annulé pour ce motif et la cause renvoyée à la cour cantonale pour qu'elle statue à nouveau.</w:t>
      </w:r>
    </w:p>
    <w:p>
      <w:r>
        <w:rPr>
          <w:b/>
        </w:rPr>
        <w:t>E. 3</w:t>
      </w:r>
    </w:p>
    <w:p>
      <w:r>
        <w:t>Le recours est admis, dans la mesure où il est recevable. Le canton de Fribourg, qui succombe, est dispensé des frais judiciaires ( art. 156 al. 2 OJ ); conformément à la pratique du Tribunal fédéral, il versera une indemnité de dépens au recourant (cf. art. 159 al. 2 OJ ; ATF 125 II 518 consid. 5b p. 519).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