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1P.842/2005 vom 30. November 2006</w:t>
      </w:r>
    </w:p>
    <w:p>
      <w:r>
        <w:t>Bundesgericht, 2006-11-30, FR</w:t>
      </w:r>
    </w:p>
    <w:p>
      <w:r>
        <w:rPr>
          <w:b/>
        </w:rPr>
        <w:t xml:space="preserve">Quelle: </w:t>
      </w:r>
      <w:r>
        <w:t>https://mcp.opencaselaw.ch/entscheid/bger_1P.842_2005</w:t>
      </w:r>
    </w:p>
    <w:p>
      <w:r>
        <w:t>FR: TF 1P.842/2005 du 30 novembre 2006</w:t>
      </w:r>
    </w:p>
    <w:p>
      <w:r>
        <w:t>IT: TF 1P.842/2005 del 30 novembre 2006</w:t>
      </w:r>
    </w:p>
    <w:p>
      <w:pPr>
        <w:pStyle w:val="Heading2"/>
      </w:pPr>
      <w:r>
        <w:t>Regeste</w:t>
      </w:r>
    </w:p>
    <w:p>
      <w:r>
        <w:t>protection des monuments historiques | Aménagement du territoire et droit public des constructions</w:t>
      </w:r>
    </w:p>
    <w:p>
      <w:pPr>
        <w:pStyle w:val="Heading2"/>
      </w:pPr>
      <w:r>
        <w:t>Erwägungen</w:t>
      </w:r>
    </w:p>
    <w:p>
      <w:r>
        <w:rPr>
          <w:b/>
        </w:rPr>
        <w:t>E. 1</w:t>
      </w:r>
    </w:p>
    <w:p>
      <w:r>
        <w:t>L'arrêt attaqué, qui renvoie la cause au Conseil d'Etat pour nouvelle décision, a un caractère incident. Le renvoi est toutefois assorti d'une instruction précise: le Conseil d'Etat doit prendre un arrêté de classement du bâtiment litigieux. Le gouvernement cantonal n'a ainsi plus aucune liberté de décision, s'agissant de l'application de l'art. 10 LPMNS et de la suite à donner à la requête de la Société d'art public. Dans ces conditions, l'arrêt du Tribunal administratif doit être assimilé à une décision finale, contre laquelle le recours de droit public est ouvert en vertu de l' art. 87 OJ ( ATF 129 I 313 consid. 3.2 p. 317; cf. également ATF 128 I 3 consid. 1b p. 7; 116 Ia 442 consid. 1b p. 445). Sous réserve d'exceptions non réalisées en l'espèce, le recours de droit public est de nature cassatoire et ne peut tendre qu'à l'annulation de la décision attaquée ( ATF 131 I 137 consid. 1.2 p. 139, 166 consid. 1.3 p. 169 et les arrêts cités). Le chef de conclusions tendant à ce que le Tribunal administratif soit invité à confirmer le rejet de la requête de classement, est donc irrecevable. Pour le reste, les conditions de recevabilité des art. 84 ss OJ sont remplies et il y a lieu d'entrer en matière.</w:t>
      </w:r>
    </w:p>
    <w:p>
      <w:r>
        <w:rPr>
          <w:b/>
        </w:rPr>
        <w:t>E. 2</w:t>
      </w:r>
    </w:p>
    <w:p>
      <w:r>
        <w:t>L'assujettissement d'un immeuble à des mesures de conservation ou de protection du patrimoine bâti constitue une restriction du droit de propriété garanti par l' art. 26 al. 1 Cst. ; pour être compatible avec cette disposition, l'assujettissement doit donc reposer sur une base légale, être justifié par un intérêt public et respecter le principe de la proportionnalité (art. 36 al. 1 à 3 Cst.; ATF 126 I 219 consid. 2a p. 221 et les arrêts cités). La recourante soutient que cette dernière condition n'est pas remplie et elle conteste, en premier lieu, que son bâtiment ait les qualités requises pour faire l'objet d'une mesure de classement; à ce propos, les normes du droit cantonal auraient été appliquées de manière arbitraire. Elle se plaint également d'une violation de la liberté économique ( art. 27 Cst. ), le classement ayant pour effet de la contraindre à choisir un certain type de locataires.</w:t>
      </w:r>
    </w:p>
    <w:p>
      <w:r>
        <w:rPr>
          <w:b/>
        </w:rPr>
        <w:t>E. 2.1</w:t>
      </w:r>
    </w:p>
    <w:p>
      <w:r>
        <w:t>La loi cantonale sur la protection des monuments, de la nature et des sites a notamment pour but la conservation des monuments de l'histoire, de l'art ou de l'architecture (art. 1 let. a LPMNS). Son chapitre II de la loi est consacré aux monuments et antiquités (art. 4 à 25 LPMNS). Il énonce en premier lieu le principe de la "protection générale" des monuments et antiquités (art. 4 à 6 LPMNS). Conformément à l'art. 4 let. a LPMNS, cette protection s'applique aux "monuments de l'histoire, de l'art ou de l'architecture [...] qui présentent un intérêt archéologique, historique, artistique, scientifique ou éducatif". La loi prévoit ensuite des instruments pour la protection concrète de certains objets, à savoir l'inscription à un inventaire cantonal (art. 7 ss LPMNS) et le classement (art. 10 ss LPMNS). L'art. 10 al. 1 LPMNS dispose que "pour assurer la protection d'un monument ou d'une antiquité au sens de l'art. 4, le Conseil d'Etat peut procéder à son classement par voie d'arrêté assorti, au besoin, d'un plan approprié". Le classement empêche la démolition de l'immeuble, les transformations importantes ou le changement de destination, à moins d'une autorisation du Conseil d'Etat (art. 15 al. 1 LPMNS), et le propriétaire est tenu d'en assurer l'entretien (art. 19 LPMNS). L'art. 22 al. 1 LPMNS prévoit que l'Etat peut participer financièrement aux frais de conservation, d'entretien et de restauration des immeubles classés. Pour reprendre la formule utilisée par le Tribunal administratif, la qualification de monument, au sens de l'art. 4 let. a LPMNS, est une condition nécessaire mais non suffisante pour procéder au classement, car il découle de l'art. 10 LPMNS que le Conseil d'Etat doit effectuer une pesée de tous les intérêts publics et privés en cause.</w:t>
      </w:r>
    </w:p>
    <w:p>
      <w:r>
        <w:rPr>
          <w:b/>
        </w:rPr>
        <w:t>E. 2.2</w:t>
      </w:r>
    </w:p>
    <w:p>
      <w:r>
        <w:t>Le Tribunal administratif a considéré que le bâtiment litigieux était un monument au sens de l'art. 4 LPMNS. Si tel est le cas, l'intérêt public des restrictions de la propriété ordonnées pour en assurer la conservation peut en principe être reconnu (cf. ATF 126 I 219 consid. 2c p. 221; 119 Ia 305 consid. 4b p. 309 et les arrêts cités).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(cf. notamment: Philip Vogel, La protection des monuments historiques, thèse Lausanne 1982 p. 25); la jurisprudence a déjà pris acte de cette évolution ( ATF 126 I 219 consid. 2e p. 223). Néanmoins, comme tout objet construit ne mérite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 ATF 120 Ia 270 consid. 4a p. 275; 118 Ia 384 consid. 5a p. 389).</w:t>
      </w:r>
    </w:p>
    <w:p>
      <w:r>
        <w:rPr>
          <w:b/>
        </w:rPr>
        <w:t>E. 2.3</w:t>
      </w:r>
    </w:p>
    <w:p>
      <w:r>
        <w:t>La recourante estime qu'il est arbitraire de qualifier son bâtiment de "monument", pour différents motifs. La volonté de le conserver serait celle d'un cercle privilégié de spécialistes car, dans des pétitions adressées aux autorités cantonales et communales, de très nombreuses personnes se seraient prononcées en faveur de l'élimination d'un objet défigurant le quartier. L'intérêt de cet immeuble résiderait exclusivement dans une conception d'ensemble et dans son fonctionnalisme; or il se trouve aujourd'hui isolé, sans rapport de cohérence avec son environnement bâti, et il a perdu la faculté d'assurer les fonctions pour lesquelles il a été créé, ayant été conçu dans la perspective de besoins en matière de logement qui ont totalement changé. Selon la jurisprudence relative à l' art. 9 Cst. ,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175 consid. 1.2 p. 177; 131 I 217 consid. 2.1 p. 219 et les arrêts cités). Il est rappelé dans l'arrêt attaqué que le Conseil d'Etat ne s'était pas prononcé sur la qualification de "monument" pour l'immeuble litigieux, mais qu'il lui avait toutefois reconnu un intérêt architectural, historique, culturel et éducatif. Le Tribunal administratif a considéré que cet immeuble méritait cette qualification en raison de sa rareté et de son rôle de témoin d'une époque, nonobstant le fait qu'il ne soit plus représentatif de la "Cité Vieusseux". Il s'est fondé sur les avis des organismes spécialisés de l'administration cantonale qui se sont prononcés dans ce sens, soit le conservateur cantonal des monuments et la commission cantonale des monuments et des sites. Un représentant de cette commission avait notamment exposé durant l'instruction que les particularités architecturales et la valeur de l'immeuble étaient reconnues dans la littérature spécialisée ou les ouvrages de référence en Suisse et qu'il s'agissait du meilleur exemple de l'architecture ouvrière des années 1930 en Suisse romande. En fonction de ces critères, il n'est pas manifestement insoutenable de considérer que le bâtiment litigieux présente, à divers titres, un intérêt tel qu'il puisse être qualifié de monument au sens de l'art. 4 let. a LPMNS. Le grief d'arbitraire est donc, de ce point de vue, mal fondé. Cet aspect n'est toutefois pas décisif car il ne découle pas de cette qualification une obligation de classer.</w:t>
      </w:r>
    </w:p>
    <w:p>
      <w:r>
        <w:rPr>
          <w:b/>
        </w:rPr>
        <w:t>E. 2.4</w:t>
      </w:r>
    </w:p>
    <w:p>
      <w:r>
        <w:t>La recourante critique le résultat de la pesée des intérêts effectuée par le Tribunal administratif en dénonçant une restriction disproportionnée de son droit de propriété. Le principe de la proportionnalité, consacré à l' art. 36 al. 3 Cst. , veut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L'examen par le Tribunal fédéral de la proportionnalité d'une mesure de protection d'un bâtiment ou d'un site est en principe libre mais il s'exerce avec une certaine retenue (cf. notamment ATF 126 I 219 consid. 2c p. 222). Sous cet angle, la jurisprudence du Tribunal fédéral, rappelée dans l'arrêt attaqué, précise que l'autorité ordonnant le classement d'un monument doit prendre des "précautions particulières" lorsque cette mesure a pour conséquence le maintien de l'affectation du bâtiment et l'obligation pour son propriétaire de poursuivre, même contre son gré, une activité économique déterminée; il faut donc établir les faits de telle manière qu'apparaissent clairement toutes les conséquences du classement, des points de vue de l'utilisation future du bâtiment et des possibilités de rendement pour son propriétaire ( ATF 126 I 219 consid. 2h p. 225/226). La présente affaire est particulière parce que le Conseil d'Etat, autorité compétente pour décider du classement des monuments historiques, a refusé de prendre un arrêté dans ce sens. Il n'a pas ignoré les intérêts liés à la protection du patrimoine architectural, puisqu'il a pris l'avis des organismes spécialisés et qu'il n'en a pas contesté les éléments factuels. Toutefois, dans ces conditions, le Conseil d'Etat n'a pas examiné le rendement que la recourante pourrait retirer de son immeuble en cas de classement, et le montant des aides financières étatiques n'a jamais été évalué; cela n'était pas critiquable vu sa décision à ce stade. Le Tribunal administratif a complété l'instruction mais il n'a pas déterminé de manière claire toutes les conséquences du classement, notamment ses conséquences financières pour la recourante. Il a considéré que les coûts de rénovation ne seraient pas "exorbitants" par rapport à ceux d'une nouvelle construction, tout en admettant que cette opération "particulièrement lourde et coûteuse". S'agissant du rendement prévisible, il a effectué une appréciation sommaire globale, tenant compte non seulement d''un projet de la recourante pour la mise en valeur de sa parcelle mais également d'un projet d'un autre promoteur, la Société coopérative d'habitation Genève, qui pourrait être réalisé simultanément; cette appréciation globale tient compte du nombre de logements qui pourraient être mis à disposition sur plusieurs parcelles. Or aucune évaluation, même approximative, n'a été faite du rendement des appartements de l'immeuble litigieux, compte tenu de la catégorie de locataires visés, soit des étudiants et des apprentis; sous l'angle de la proportionnalité, c'est bien le rendement de l'immeuble dont le classement est ordonné qui est déterminant (notamment en comparaison avec celui escompté par le propriétaire sans le classement), et non pas le rendement d'une opération immobilière plus vaste, où la perte sur l'exploitation d'un immeuble serait en quelque sorte compensée par des perspectives de profit dans la location d'autres bâtiments. Les conséquences du classement ne doivent en effet être appréciées que du point de vue du monument en cause. Par ailleurs, le Tribunal administratif enjoint la recourante de "solliciter les diverses aides étatiques envisageables", sans toutefois estimer le montant de ces subventions. Aucun renseignement n'est en outre donné sur les modalités pratiques de collaboration entre le propriétaire et l'administration cantonale, laquelle n'avait du reste, avant l'annulation de l'arrêté du Conseil d'Etat du 25 août 2004, pas de motif d'examiner d'office ces questions (à propos de la nécessité de cette collaboration, découlant de l'application du principe de la proportionnalité: ATF 126 I 219 consid. 2h p. 226). Dans ces conditions, les indications figurant dans l'arrêt attaqué sont nettement insuffisantes pour que l'on puisse qualifier la restriction de conforme au principe de la proportionnalité. Il s'ensuit que le grief de violation de la garantie de la propriété est fondé.</w:t>
      </w:r>
    </w:p>
    <w:p>
      <w:r>
        <w:rPr>
          <w:b/>
        </w:rPr>
        <w:t>E. 2.5</w:t>
      </w:r>
    </w:p>
    <w:p>
      <w:r>
        <w:t>Le recours de droit public doit donc être admis pour ce motif. Vu la nature cassatoire de ce moyen de droit (cf. supra, consid. 1), l'arrêt attaqué doit être annulé et il n'y a pas lieu de se prononcer sur le contenu de la nouvelle décision que le Tribunal administratif sera amené à rendre dans la présente contestation. Il est en conséquence superflu d'examiner les autres griefs de la recourante, notamment le grief de violation de la liberté économique.</w:t>
      </w:r>
    </w:p>
    <w:p>
      <w:r>
        <w:rPr>
          <w:b/>
        </w:rPr>
        <w:t>E. 3</w:t>
      </w:r>
    </w:p>
    <w:p>
      <w:r>
        <w:t>Il se justifie de renoncer à percevoir un émolument judiciaire. L'intimée, qui succombe, devra payer à la recourante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