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1P.794/1999 vom 25. April 2000</w:t>
      </w:r>
    </w:p>
    <w:p>
      <w:r>
        <w:t>Bundesgericht, 2000-04-25, DE</w:t>
      </w:r>
    </w:p>
    <w:p>
      <w:r>
        <w:rPr>
          <w:b/>
        </w:rPr>
        <w:t xml:space="preserve">Quelle: </w:t>
      </w:r>
      <w:r>
        <w:t>https://mcp.opencaselaw.ch/entscheid/bger_1P.794_1999</w:t>
      </w:r>
    </w:p>
    <w:p>
      <w:r>
        <w:t>FR: TF 1P.794/1999 du 25 avril 2000</w:t>
      </w:r>
    </w:p>
    <w:p>
      <w:r>
        <w:t>IT: TF 1P.794/1999 del 25 aprile 2000</w:t>
      </w:r>
    </w:p>
    <w:p>
      <w:pPr>
        <w:pStyle w:val="Heading2"/>
      </w:pPr>
      <w:r>
        <w:t>Erwägungen</w:t>
      </w:r>
    </w:p>
    <w:p>
      <w:r>
        <w:rPr>
          <w:b/>
        </w:rPr>
        <w:t>E. 1</w:t>
      </w:r>
    </w:p>
    <w:p>
      <w:r>
        <w:t>a) Nach Art. 88 OG steht das Recht zur Beschwerdeführung Bürgern (Privaten) und Korporationen bezüglich solcher Rechtsverletzungen zu, die sie durch allgemein verbindliche oder sie persönlich treffende Erlasse oder Verfügungen erlitten haben. Gemäss ständiger Rechtsprechung kann mit staatsrechtlicher Beschwerde lediglich die Verletzung in rechtlich geschützten Interessen gerügt werden; zur Verfolgung bloss tatsächlicher Vorteile oder zur Geltendmachung allgemeiner öffentlicher Interessen ist die staatsrechtliche Beschwerde nicht gegeben ( BGE 118 Ia 46 E. 3a S. 51; 118 Ia 232 E. 1 S. 234; 117 Ia 90 E. 2a S. 93). Die eigenen rechtlichen Interessen, auf die sich der Beschwerdeführer berufen muss, können entweder durch kantonales oder eidgenössisches Gesetzesrecht oder aber auch unmittelbar durch ein angerufenes spezielles Grundrecht geschützt sein, sofern die Interessen auf dem Gebiet liegen, welches die betreffende Verfassungsbestimmung beschlägt ( BGE 118 Ia 46 E. 3a S. 51; 117 Ia 90 E. 2b S. 93). Da aus Art. 4 aBV - die neue Bundesverfassung vom 18. April 1999 (BV) findet noch keine Anwendung, da sie im Zeitpunkt des angefochtenen Entscheids noch nicht in Kraft stand - indessen kein selbständiger Anspruch auf willkürfreies staatliches Handeln folgt ( BGE 112 Ia 174 E. 3c S. 178; 110 Ia 72 E. 2a S. 75), ist die Legitimation zur Willkürbeschwerde nur gegeben, soweit das Gesetzesrecht, dessen willkürliche Anwendung behauptet wird, dem Beschwerdeführer einen Rechtsanspruch einräumt oder gerade den Schutz seiner beeinträchtigten Interessen bezweckt ( BGE 117 Ia 90 E. 2b S. 93). Das in Art. 4 aBV enthaltene allgemeine Willkürverbot verschafft für sich allein demnach noch keine geschützte Rechtsstellung im Sinne von Art. 88 OG ( BGE 118 Ia 46 E. 3a S. 51 mit Hinweisen).</w:t>
      </w:r>
    </w:p>
    <w:p>
      <w:r>
        <w:t>b) In Anwendung dieser Legitimationsvoraussetzungen hat das Bundesgericht entschieden, dass der öffentlichrechtlich Angestellte, dem gekündigt worden ist, grundsätzlich nicht befugt ist, staatsrechtliche Beschwerde zu führen, es sei denn, das kantonale Recht mache die Kündigung von besonderen Voraussetzungen abhängig ( BGE 120 Ia 110 E. 1b).</w:t>
      </w:r>
    </w:p>
    <w:p>
      <w:r>
        <w:t>Der Beschwerdeführer macht geltend, sein Anstellungsverhältnis sei ohne triftigen Grund und damit rechtswidrig aufgelöst. Das Verwaltungsgericht bezweifelt in der Vernehmlassung, dass es dazu überhaupt triftiger Gründe bedurft hätte. Diese Frage betrifft nach dem Gesagten eine Sachurteilsvoraussetzung, die frei zu prüfen ist ( BGE 121 I 93 E. 1; 120 Ia 165 E. 1).</w:t>
      </w:r>
    </w:p>
    <w:p>
      <w:r>
        <w:rPr>
          <w:b/>
        </w:rPr>
        <w:t>E. 2</w:t>
      </w:r>
    </w:p>
    <w:p>
      <w:r>
        <w:t>a) Die Kündigung des Anstellungsverhältnisses zwischen dem Regionalspital Interlaken und dem Beschwerdeführer ist in Ziff. 1.3. des Anstellungsvertrages dahingehend geregelt, dass es - unter Vorbehalt der Nichtwiederwahl nach Ablauf einer Amtsdauer und der Auflösung aus wichtigem Grund - von jeder Vertragspartei je auf das Ende eines Kalenderhalbjahres unter Einhaltung einer Kündigungsfrist von 6 Monaten gekündigt werden kann. Diese Vertragsklausel ist ohne weiteres aus sich heraus verständlich und ergibt einen vernünftigen Sinn, nämlich dass der Anstellungsvertrag, abgesehen von der Möglichkeit der Nichtwiederwahl und der Auflösung aus wichtigem Grund, auf zwei bestimmte Termine - per 30. Juni und 31. Dezember - unter Einhaltung einer bestimmten Frist gekündigt werden kann.</w:t>
      </w:r>
    </w:p>
    <w:p>
      <w:r>
        <w:t>Dass die Parteien die ordentliche Kündigung von weiteren Voraussetzungen - insbesondere dem Vorliegen triftiger Gründe - abhängen lassen wollten, lässt sich dieser Vertragsklausel offensichtlich nicht entnehmen. Das lässt sich im Gegenteil schon deswegen ausschliessen, weil die Kündigung für beide Vertragsparteien gleich geregelt ist und der Beschwerdeführer zu Recht nicht geltend macht, auch er hätte das Anstellungsverhältnis nur bei Vorliegen eines triftigen Grundes auflösen dürfen. Bestätigt wird dies auch durch Abs. 2 von Ziff. 1.3., wo besonders erwähnt wird, eine ausserordentliche Kündigung ohne Beachtung von Kündigungsfristen sei nur bei Vorliegen eines "wichtigen" Grundes möglich, was den Umkehrschluss nahe legt, dass eine ordentliche Kündigung ohne derartigen Grund zulässig sein soll.</w:t>
      </w:r>
    </w:p>
    <w:p>
      <w:r>
        <w:t>Aus den Richtlinien des Regierungsrates vom 6. Juli 1983 "über die private Tätigkeit der Ärzte in den öffentlichen Spitälern" bzw. den gestützt darauf von der Ärztegesellschaft des Kantons Bern und dem Verband bernischer Krankenhäuser erarbeiteten, von der Gesundheitsdirektion am 17. Juli 1985 genehmigten "Leitfaden für Chefarztverträge" lässt sich nichts anderes ableiten. Erstere enthalten keine einschlägigen Vorschriften über die Vertragsbeendigung, letztere schlagen in Ziffer 4 die Regelung vor, dass sich der Vertrag jeweils um ein Jahr verlängert, sofern er nicht sechs Monate vor dessen Ablauf gekündigt wurde. Besondere Kündigungsvoraussetzungen oder auch nur eine Begründungspflicht sind darin nicht vorgesehen.</w:t>
      </w:r>
    </w:p>
    <w:p>
      <w:r>
        <w:t>b) Der Beschwerdeführer macht geltend, nach Art. 22 Abs. 3 des Personalgesetzes vom 5. November 1992 (PG), an welche sich das Reglement "Anstellungs- und Dienstbedingungen des Regionalspitals Interlaken" (ohne Datum) nach dessen Ziff. 1.2. anlehne, habe die Behörde für die Auflösung eines öffentlichrechtlichen Angestelltenverhältnisses "triftige Gründe" anzugeben. Dieses Reglement behält indessen in Ziff. 1.2. ausdrücklich abweichende Regelungen im Arbeitsvertrag vor, sodass der Beschwerdeführer aus diesem Verweis nichts zu seinen Gunsten ableiten kann.</w:t>
      </w:r>
    </w:p>
    <w:p>
      <w:r>
        <w:t>c) Zusammenfassend ergibt sich, dass der Anstellungsvertrag zwischen dem Regionalspital Interlaken und dem Beschwerdeführer die ordentliche Kündigung des Vertragsverhältnisses geregelt hat und diese, vom Einhalten von Kündigungsfrist und -termin abgesehen, an keine weiteren besonderen Voraussetzungen gebunden hat. Unter diesen Umständen war der Spitalrat des Gemeindeverbandes Spital Interlaken bei der Kündigung des Vertragsverhältnisses zwischen ihm und dem Beschwerdeführer nur an das für alle Behörden immer geltende Willkürverbot von Art. 4 aBV ( Art. 9 BV ) gebunden.</w:t>
      </w:r>
    </w:p>
    <w:p>
      <w:r>
        <w:t>Daraus ergibt sich nach der in E. 1 dargelegten Legitimationspraxis des Bundesgerichts, dass auf die Beschwerde nicht einzutreten ist. Unter diesen Umständen kann offen bleiben, ob der Auffassung des Verwaltungsgerichts gefolgt werden könnte, dass sich das Erfordernis des "triftigen Grundes" als Voraussetzung für die ordentliche Kündigung in der Beachtung des verfassungsrechtlichen Willkürverbotes erschöpft.</w:t>
      </w:r>
    </w:p>
    <w:p>
      <w:r>
        <w:rPr>
          <w:b/>
        </w:rPr>
        <w:t>E. 3</w:t>
      </w:r>
    </w:p>
    <w:p>
      <w:r>
        <w:t>Auf die Beschwerde ist damit nicht einzutreten. Bei diesem Ausgang des Verfahrens wird der Beschwerdeführer kostenpflichtig ( Art. 156 Abs. 1 OG ), und er hat ausserdem dem Beschwerdegegner eine angemessene Parteientschädigung zu bezahlen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