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1P.791/2000 vom 25. Oktober 2000</w:t>
      </w:r>
    </w:p>
    <w:p>
      <w:r>
        <w:t>Bundesgericht, 2000-10-25, IT</w:t>
      </w:r>
    </w:p>
    <w:p>
      <w:r>
        <w:rPr>
          <w:b/>
        </w:rPr>
        <w:t xml:space="preserve">Quelle: </w:t>
      </w:r>
      <w:r>
        <w:t>https://mcp.opencaselaw.ch/entscheid/bger_1P.791_2000</w:t>
      </w:r>
    </w:p>
    <w:p>
      <w:r>
        <w:t>FR: TF 1P.791/2000 du 25 octobre 2000</w:t>
      </w:r>
    </w:p>
    <w:p>
      <w:r>
        <w:t>IT: TF 1P.791/2000 del 25 ottobre 2000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La tassa di giustizia di fr. 1000.-- è posta a carico della ricorrente.</w:t>
      </w:r>
    </w:p>
    <w:p>
      <w:r>
        <w:rPr>
          <w:b/>
        </w:rPr>
        <w:t>E. 3</w:t>
      </w:r>
    </w:p>
    <w:p>
      <w:r>
        <w:t>Comunicazione ai patrocinatori delle parti, alla Corte delle Assise criminali di Lugano, al Ministero pubblico e, per conoscenza, alla Corte di cassazione e di revisione penale del Tribunale d'appello del Cantone Ticino.</w:t>
      </w:r>
    </w:p>
    <w:p>
      <w:r>
        <w:t>Losanna, 30 marzo 2001 VIZ</w:t>
      </w:r>
    </w:p>
    <w:p>
      <w:r>
        <w:t>In nome della I Corte di diritto pubblico</w:t>
      </w:r>
    </w:p>
    <w:p>
      <w:r>
        <w:t>del TRIBUNALE FEDERALE SVIZZERO:</w:t>
      </w:r>
    </w:p>
    <w:p>
      <w:r>
        <w:t>Il Presidente,</w:t>
      </w:r>
    </w:p>
    <w:p>
      <w:r>
        <w:t>Il Cancelliere,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