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1P.786/2005 vom 8. Mai 2006</w:t>
      </w:r>
    </w:p>
    <w:p>
      <w:r>
        <w:t>Bundesgericht, 2006-05-08, FR</w:t>
      </w:r>
    </w:p>
    <w:p>
      <w:r>
        <w:rPr>
          <w:b/>
        </w:rPr>
        <w:t xml:space="preserve">Quelle: </w:t>
      </w:r>
      <w:r>
        <w:t>https://mcp.opencaselaw.ch/entscheid/bger_1P.786_2005</w:t>
      </w:r>
    </w:p>
    <w:p>
      <w:r>
        <w:t>FR: TF 1P.786/2005 du 8 mai 2006</w:t>
      </w:r>
    </w:p>
    <w:p>
      <w:r>
        <w:t>IT: TF 1P.786/2005 del 8 maggio 2006</w:t>
      </w:r>
    </w:p>
    <w:p>
      <w:pPr>
        <w:pStyle w:val="Heading2"/>
      </w:pPr>
      <w:r>
        <w:t>Regeste</w:t>
      </w:r>
    </w:p>
    <w:p>
      <w:r>
        <w:t>élection du 9 octobre 2005 du Grand Conseil | Droits politiques</w:t>
      </w:r>
    </w:p>
    <w:p>
      <w:pPr>
        <w:pStyle w:val="Heading2"/>
      </w:pPr>
      <w:r>
        <w:t>Erwägungen</w:t>
      </w:r>
    </w:p>
    <w:p>
      <w:r>
        <w:rPr>
          <w:b/>
        </w:rPr>
        <w:t>E. 1</w:t>
      </w:r>
    </w:p>
    <w:p>
      <w:r>
        <w:t>La recevabilité du recours de droit public - qu'il soit formé pour violation des droits politiques ou pour violation des droits constitutionnels - est examinée d'office et avec une pleine cognition ( ATF 131 I 145 consid. 2 et les arrêts cités; 128 I 46 consid. 1a p. 48).</w:t>
      </w:r>
    </w:p>
    <w:p>
      <w:r>
        <w:rPr>
          <w:b/>
        </w:rPr>
        <w:t>E. 1.1</w:t>
      </w:r>
    </w:p>
    <w:p>
      <w:r>
        <w:t>Les recourants déclarent recourir pour violation des droits politiques ( art. 85 let. a OJ ), ainsi que pour violation des droits constitutionnels ( art. 84 al. 1 let. a OJ ). Toutefois, tous les griefs soulevés à l'encontre de l'arrêt cantonal relèvent du recours pour violation des droits politiques, y compris les griefs relatifs à l'établissement des faits et au droit d'être entendu, qui peuvent être soulevés dans ce cadre. Le recours pour violation des droits constitutionnels est par conséquent irrecevable, sans qu'il y ait à examiner la qualité pour agir des recourants au regard de l' art. 88 OJ .</w:t>
      </w:r>
    </w:p>
    <w:p>
      <w:r>
        <w:rPr>
          <w:b/>
        </w:rPr>
        <w:t>E. 1.2</w:t>
      </w:r>
    </w:p>
    <w:p>
      <w:r>
        <w:t>La cour cantonale a émis des doutes quant à la qualité pour agir de l'AdG, dont on ignore la forme juridique. Ces doutes ne sont pas levés par les recourants et la question pourra, à ce stade également, demeurer indécise, puisque la qualité pour agir des autres recourants, tous électeurs genevois, ne fait pas de doute ( ATF 130 I 290 consid. 1.2 p. 292 et les arrêts cités).</w:t>
      </w:r>
    </w:p>
    <w:p>
      <w:r>
        <w:rPr>
          <w:b/>
        </w:rPr>
        <w:t>E. 1.3</w:t>
      </w:r>
    </w:p>
    <w:p>
      <w:r>
        <w:t>Le recours pour violation des droits politiques n'a en principe, comme les autres recours de droit public, qu'une nature cassatoire ( ATF 129 I 185 consid. 1.5 p. 189; 119 Ia 167 consid. 1f p. 173; 118 Ia 184 consid. 1d p. 188). Les conclusions qui vont au-delà de l'annulation partielle ou totale de l'arrêt attaqué sont donc irrecevables.</w:t>
      </w:r>
    </w:p>
    <w:p>
      <w:r>
        <w:rPr>
          <w:b/>
        </w:rPr>
        <w:t>E. 1.4</w:t>
      </w:r>
    </w:p>
    <w:p>
      <w:r>
        <w:t>Selon l' art. 90 al. 1 let. b OJ , le recours de droit public doit comporter un exposé succinct des droits constitutionnels ou des principes juridiques violés, précisant en quoi consiste la violation. Le Tribunal fédéral n'examine que les griefs soulevés de manière claire et détaillée ( ATF 130 I 26 consid. 2.1 p. 31). Cette exigence de motivation s'applique aussi en matière de recours pour violation des droits politiques ( ATF 129 I 185 consid. 1.6 p. 189 et les arrêts cités). Sur bien des points le recours ne satisfait pas à cette exigence de clarté et de précision. En effet, bien qu'invités à refaire leur écriture, les recourants présentent leur argumentation dans un certain désordre: au gré d'innombrables redites, ils mélangent la reprise pure et simple des griefs présentés en instance cantonale, des arguments de fait et quelques griefs nouveaux. Le recours est constitué d'un résumé en fait et en droit - auquel les recourants admettent qu'ils auraient pu se tenir -, d'une partie en fait comportant plusieurs appréciations juridiques, d'une autre partie consacrée à la recevabilité qui aborde également le fond, d'une section exposant de manière générale la procédure de dépouillement et de récapitulation, d'un passage relatif au traitement des bulletins de vote de Meyrin, d'une énumération des griefs dirigés contre l'arrêt attaqué et d'un chapitre rappelant les irrégularités dénoncées et la jurisprudence du Tribunal fédéral. Chacune de ces parties contient des allégations de fait, des critiques générales formulées contre le système de dépouillement, et des griefs de droit. Par ailleurs, le recours de droit public dirigé contre un arrêt de dernière instance cantonale ne peut contenir de griefs qu'à l'encontre de ce dernier ( art. 86 OJ ), hormis le cas non réalisé en l'espèce où l'autorité intimée est tenue d'examiner le droit d'office ( ATF 131 I 31 consid. 2.1.1 p. 33-34; cas que les recourants confondent manifestement avec le libre pouvoir d'examen). Si l'autorité cantonale a omis de statuer sur un argument qui lui était valablement soumis, il appartient aux recourants de se plaindre à ce sujet d'une violation de leur droit d'être entendus. En l'occurrence, seul le chapitre VI du recours est expressément consacré aux griefs dirigés contre l'arrêt attaqué. Il y a lieu, par conséquent, de se limiter à l'examen de cette seule partie du recours, sans avoir à rechercher les autres griefs qui pourraient figurer, de manière éparse, dans d'autres chapitres.</w:t>
      </w:r>
    </w:p>
    <w:p>
      <w:r>
        <w:rPr>
          <w:b/>
        </w:rPr>
        <w:t>E. 1.5</w:t>
      </w:r>
    </w:p>
    <w:p>
      <w:r>
        <w:t>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il n'examine en revanche que sous l'angle restreint de l'arbitraire l'interprétation d'autres règles du droit cantonal ( ATF 131 I 386 consid. 3.2 p. 391 et les arrêts cités). En présence de deux interprétations également défendables, le Tribunal fédéral s'en tient à celle retenue par la plus haute autorité cantonale ( ATF 121 I 334 consid. 2c p. 339; sur l'évolution du pouvoir d'examen du Tribunal fédéral, voir ATF 111 Ia 201 consid. 4 p. 206-208).</w:t>
      </w:r>
    </w:p>
    <w:p>
      <w:r>
        <w:rPr>
          <w:b/>
        </w:rPr>
        <w:t>E. 2</w:t>
      </w:r>
    </w:p>
    <w:p>
      <w:r>
        <w:t>Les recourants soulèvent des griefs d'ordre formel (qu'ils qualifient de "faits") qu'il y a lieu d'examiner en premier. Ils se plaignent de ce que le Tribunal administratif n'a pas procédé à des auditions de témoins, alors que des faits selon eux "très importants" seraient restés obscurs, en particulier concernant les diverses manipulations des bulletins de vote.</w:t>
      </w:r>
    </w:p>
    <w:p>
      <w:r>
        <w:rPr>
          <w:b/>
        </w:rPr>
        <w:t>E. 2.1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 Par ailleurs, le droit d'être entendu doit être exercé dans le respect des règles de procédure cantonales relatives à l'administration des preuves.</w:t>
      </w:r>
    </w:p>
    <w:p>
      <w:r>
        <w:rPr>
          <w:b/>
        </w:rPr>
        <w:t>E. 2.2</w:t>
      </w:r>
    </w:p>
    <w:p>
      <w:r>
        <w:t>Les recourants estiment que les auditions du président du local de vote et de certains contrôleurs étaient nécessaires pour définir les modalités des recomptages effectués à Uni-Mail. Les rapports fournis par la Chancellerie seraient contradictoires et l'infaillibilité du système de dépouillement n'aurait pas été démontrée. Les recourants omettent toutefois de préciser quels "faits importants" pourraient ainsi être démontrés. Si les témoignages proposés étaient propres à établir l'existence d'une fraude, il appartenait aux recourants de l'indiquer. En définitive, le Tribunal administratif s'est estimé suffisamment renseigné pour écarter l'hypothèse d'une telle fraude, appréciation anticipée qui, comme cela est relevé ci-dessous, n'a rien d'arbitraire.</w:t>
      </w:r>
    </w:p>
    <w:p>
      <w:r>
        <w:rPr>
          <w:b/>
        </w:rPr>
        <w:t>E. 3</w:t>
      </w:r>
    </w:p>
    <w:p>
      <w:r>
        <w:t>Sur le fond, les recourants invoquent les art. 48 de la constitution genevoise (Cst./GE), et 73 et 74 de la loi genevoise sur l'exercice des droits politiques (LEDP). Ils persistent à considérer que le dépouillement centralisé n'aurait pas fait l'objet d'une décision du Conseil d'Etat. Les avis publiés dans la feuille d'avis officielle (nomination des contrôleurs et rappel par la Chancellerie que le dépouillement aura lieu par ses soins) étaient insuffisants. Il s'ensuivrait que les opérations effectuées à Uni-Mail violeraient les dispositions relatives à la publicité et au contrôle des opérations.</w:t>
      </w:r>
    </w:p>
    <w:p>
      <w:r>
        <w:rPr>
          <w:b/>
        </w:rPr>
        <w:t>E. 3.1</w:t>
      </w:r>
    </w:p>
    <w:p>
      <w:r>
        <w:t>Selon l' art. 34 al. 2 Cst. , la garantie des droits politiques protège la libre formation de l'opinion des citoyens et l'expression fidèle et sûre de leur volonté. Les votations et élections doivent être organisées de telle manière que la volonté des électeurs puisse s'exercer librement, notamment sans pression ni influence extérieure ( ATF 131 I 126 consid. 5.1 p. 132 et les arrêts cités). En particulier, l'autorité chargée du dépouillement doit compter les suffrages avec soin et conformément aux dispositions applicables. Il appartient en premier lieu au droit cantonal de prévoir les cas dans lesquels un électeur peut éventuellement réclamer un nouveau comptage, mais à défaut de dispositions suffisantes sur ce point, la vérification du résultat est de toute manière exigible, sur la base du droit constitutionnel fédéral, si le soupçon d'une erreur dans le comptage, ou d'un comportement irrégulier de l'organe compétent, est justifié par des indices concrets et pertinents ( ATF 131 I 442 consid. 3.2 p. 447; 98 Ia 73 consid. 4 p. 85; voir aussi ATF 114 Ia 42 consid. 4c p. 46). L' 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 ATF 114 Ia 42 consid. 4c, 100 Ia 362 consid. 5d, 98 Ia 73 consid. 4; cf. Stephan Widmer, Wahl- und Abstimmungsfreiheit, thèse Zurich 1989, p. 172). Demeure réservée l'hypothèse où le droit cantonal ne consacrerait pas des règles suffisantes en vue d'assurer la régularité du résultat proclamé. Ainsi, pour autant que la fiabilité du décompte ne soit pas mise en péril, le dépouillement peut avoir lieu dans les arrondissements électoraux, ou de manière centralisée. L' art. 34 Cst. n'impose pas non plus un contrôle des opérations par des représentants du peuple ou des partis politiques. Ainsi, l'ensemble des dispositions invoquées par les recourants ne touche pas au contenu même des droits politiques; il s'agit de normes de procédure et d'organisation dont le Tribunal fédéral examine l'application, à l'instar de l'établissement des faits, sous l'angle de l'arbitraire (consid. 1.5 ci-dessus). Il en va de même pour le grief relatif à l'activité des contrôleurs: si ceux-ci sont prévus par une disposition constitutionnelle (l' art. 48 Cst./GE ), leur intervention est régie par les art. 73 et 74 LEDP, dispositions qui ont elles aussi une nature organisationnelle.</w:t>
      </w:r>
    </w:p>
    <w:p>
      <w:r>
        <w:rPr>
          <w:b/>
        </w:rPr>
        <w:t>E. 3.2</w:t>
      </w:r>
    </w:p>
    <w:p>
      <w:r>
        <w:t>Selon l'art. 67 LEDP, le dépouillement peut se faire de manière centralisée (al. 1). La Chancellerie d'Etat convoque les jurés chargés de ce dépouillement (al. 2). Une brève analyse littérale et systématique (l'art. 67 LEDP fait partie du chapitre X de la loi intitulé "Dépouillement") fait apparaître que l'opération visée par cette disposition concerne bien le dépouillement des bulletins, et non pas le recomptage des votes. S'il en est ainsi, les opérations effectuées dans les bureaux de vote ne peuvent consister qu'en un simple triage, sans décompte nominatif. L'interprétation retenue à ce sujet par la cour cantonale n'a donc rien d'arbitraire.</w:t>
      </w:r>
    </w:p>
    <w:p>
      <w:r>
        <w:rPr>
          <w:b/>
        </w:rPr>
        <w:t>E. 3.3</w:t>
      </w:r>
    </w:p>
    <w:p>
      <w:r>
        <w:t>La simple lecture de la disposition précitée fait également apparaître que les personnes chargées de ce dépouillement centralisé sont bien des jurés électoraux, convoqués par la Chancellerie d'Etat. Pour le surplus, les recourants n'expliquent pas en quoi la rédaction prétendument ambiguë des avis parus dans la feuille d'avis officielle devrait entraîner l'illégalité ou la nullité de l'ensemble des opérations de dépouillement centralisé.</w:t>
      </w:r>
    </w:p>
    <w:p>
      <w:r>
        <w:rPr>
          <w:b/>
        </w:rPr>
        <w:t>E. 3.4</w:t>
      </w:r>
    </w:p>
    <w:p>
      <w:r>
        <w:t>Autant qu'on les comprend, les griefs relatifs à la publicité des opérations de dépouillement centralisé ne sont pas mieux fondés. Selon l'art. 66 al. 2 LEDP, l'ouverture des urnes et le dépouillement des bulletins sont publics. Toutefois, l'art. 66 al. 5 LEDP réserve le cas du dépouillement centralisé prévu à l'art. 67 LEDP. Le législateur genevois a ainsi manifestement voulu instituer un mode particulier de dépouillement, pouvant être soumis à des règles propres. La systématique légale fait aussi apparaître que le dépouillement centralisé (chapitre X) est suivi de la récapitulation (chapitre XI); c'est seulement pour cette dernière que la loi prévoit le contrôle d'électeurs désignés par le Conseil d'Etat (art. 73 al. 1 LEDP). Cela est du reste conforme à l' art. 48 al. 3 Cst./GE , qui prévoit que seule la récapitulation des votes a lieu en séance public sous le contrôle d'au moins cinq électeurs choisis dans les partis ou les groupements. Les recourants soutiennent que le silence de la loi sur ce point imposerait un contrôle permanent de l'ensemble des opérations centralisées; ce raisonnement ne saurait être suivi, dans la mesure où une telle présence n'est nullement exigée par le droit constitutionnel fédéral et cantonal. Au demeurant, la pratique en vigueur se montre moins restrictive et permet aux contrôleurs d'assister également au dépouillement proprement dit. Les recourants ne peuvent non plus prétendre qu'il existerait une obligation d'interpeller les contrôleurs à chaque problème de décompte: une telle obligation ne découle pas non plus du droit supérieur. Selon la pratique, les contrôleurs, après avoir été rendus attentifs à leurs droits, peuvent circuler librement dans les salles et poser des questions. Par conséquent, le mode de dépouillement adopté par la Chancellerie, confirmé par la cour cantonale, s'inscrit dans le cadre législatif de la LEDP et ne prête pas le flanc à la critique.</w:t>
      </w:r>
    </w:p>
    <w:p>
      <w:r>
        <w:rPr>
          <w:b/>
        </w:rPr>
        <w:t>E. 3.5</w:t>
      </w:r>
    </w:p>
    <w:p>
      <w:r>
        <w:t>En définitive, la seule question déterminante consiste à savoir si, comme le prétendent les recourants, il est suffisamment vraisemblable que la différence de décomptes résulte d'une fraude. Les recourants devraient apporter à ce sujet des indices concrets d'un comportement illicite, notamment de la part des organes chargés de diriger la votation ( ATF 114 Ia 42 ). La cour cantonale a relevé que les mesures de sécurité et l'intervention de deux jurés pour chaque comptage permettaient d'exclure l'hypothèse selon laquelle une liasse de bulletins de vote aurait pu être remplacée par une autre. D'autres erreurs avaient été commises par le bureau de vote de Meyrin, et avaient été corrigées lors du dépouillement centralisé. Les recourants ne répondent rien à ces considérations, pourtant pertinentes. A cela s'ajoute qu'un score de 290 bulletins compacts pour le local de vote de Meyrin serait en contradiction tant avec les résultats des autres locaux de vote qu'avec ceux de l'élection du Grand Conseil de 2001, ce qui constitue aussi un indice en défaveur de la thèse des recourants.</w:t>
      </w:r>
    </w:p>
    <w:p>
      <w:r>
        <w:rPr>
          <w:b/>
        </w:rPr>
        <w:t>E. 3.6</w:t>
      </w:r>
    </w:p>
    <w:p>
      <w:r>
        <w:t>L'hypothèse la plus probable est donc celle d'une erreur commise dans le local de vote de Meyrin, notamment un mauvais étiquetage d'une enveloppe de 100 bulletins. L'explication manuscrite apposée sur le formulaire "B2" est certes inexacte, mais cela résulte manifestement d'une erreur de plume, et n'accrédite pas la thèse des recourants. Ce qui reste déterminant, c'est que le nombre de bulletins compacts indiqués sur ce formulaire s'est trouvé confirmé lors des recomptages subséquents.</w:t>
      </w:r>
    </w:p>
    <w:p>
      <w:r>
        <w:rPr>
          <w:b/>
        </w:rPr>
        <w:t>E. 4</w:t>
      </w:r>
    </w:p>
    <w:p>
      <w:r>
        <w:t>Dans la mesure où il est recevable, le recours doit par conséquent être rejeté. Conformément à la pratique,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