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1P.785/2000 vom 7. September 2000</w:t>
      </w:r>
    </w:p>
    <w:p>
      <w:r>
        <w:t>Bundesgericht, 2000-09-07, DE</w:t>
      </w:r>
    </w:p>
    <w:p>
      <w:r>
        <w:rPr>
          <w:b/>
        </w:rPr>
        <w:t xml:space="preserve">Quelle: </w:t>
      </w:r>
      <w:r>
        <w:t>https://mcp.opencaselaw.ch/entscheid/bger_1P.785_2000</w:t>
      </w:r>
    </w:p>
    <w:p>
      <w:r>
        <w:t>FR: TF 1P.785/2000 du 7 septembre 2000</w:t>
      </w:r>
    </w:p>
    <w:p>
      <w:r>
        <w:t>IT: TF 1P.785/2000 del 7 settembre 2000</w:t>
      </w:r>
    </w:p>
    <w:p>
      <w:pPr>
        <w:pStyle w:val="Heading2"/>
      </w:pPr>
      <w:r>
        <w:t>Regeste</w:t>
      </w:r>
    </w:p>
    <w:p>
      <w:r>
        <w:t>Strafprozess</w:t>
      </w:r>
    </w:p>
    <w:p>
      <w:pPr>
        <w:pStyle w:val="Heading2"/>
      </w:pPr>
      <w:r>
        <w:t>Erwägungen</w:t>
      </w:r>
    </w:p>
    <w:p>
      <w:r>
        <w:rPr>
          <w:b/>
        </w:rPr>
        <w:t>E. 15</w:t>
      </w:r>
    </w:p>
    <w:p>
      <w:r>
        <w:t>Minuten im Freien aufzuhalten, und einen unkontrollierten Schuss abgegeben (vgl. dazu auch Urteil des Bundesgerichtes vom 9. Januar 1998, Verfahren 1P.699/1997, E. 3a - b). e) Schon im Urteil des Bundesgerichtes vom 7. Januar 2000 (betreffend bedingte Entlassung aus dem Strafvollzug, Verfahren 6A.95/1999, E. 4) musste dem Beschwerdeführer vorgehalten werden, er habe sich während des Straf- und Massnahmenvollzuges trotz Therapieangeboten "nicht bereit" gezeigt, "zur Bewältigung seiner Probleme fachliche Hilfe in Anspruch zu nehmen". Das psychiatrische Gutachten vom 2. August 2000 schliesst denn auch auf eine weiterhin bestehende Neigung zu "aggressiven Impulsdurchbrüchen" und auf eine grosse Rückfallsgefahr bezüglich Alkohol- und Drogenmissbrauch im Falle der Haftentlassung. Wie im Urteil des Bezirksgerichtes Lenzburg vom 7. September 2000 dargelegt wird, habe der Beschwerdeführer trotz seiner vielen Verurteilungen die stationären und ambulanten Therapieangebote nicht (bzw. nicht ausreichend) wahrgenommen, weshalb die Massnahmen als gescheitert und die aufgeschobenen Freiheitsstrafen als vollziehbar erklärt wurden. f) Bei dieser Sachlage ist der Haftgrund der Fortsetzungsgefahr zu bejahen. Der Aufschub der Freiheitsstrafen gemäss Urteilen vom 28. Juni 1988, 25. Februar 1992, 19. Januar 1993 sowie 7. Mai 1997 und die ersatzweise angeordneten Massnahmen hatten nach willkürfreier Darlegung der kantonalen Behörden nicht den erhofften Erfolg. Auch die gerichtliche und polizeiliche Konfiskation von diversen Schusswaffen hat den Beschwerdeführer bisher nicht daran gehindert, sich in Freiheit umgehend Ersatz zu beschaffen und Menschen damit zu bedrohen und in Lebensgefahr zu bringen. Angesichts der Aktenlage erscheint die Rückfallprognose sehr ungünstig und sind die zu befürchtenden neuerlichen Delikte von schwerer Natur. g) Was der Beschwerdeführer hiegegen einwendet, lässt die Annahme von Fortsetzungsgefahr nicht als verfassungswidrig erscheinen. Unbehelflich ist namentlich das Vorbringen, "heute" (also im Strafvollzug bzw. in strafprozessualer Haft) würden "keinerlei Drogen- und Alkoholprobleme mehr bestehen". Im angefochtenen Entscheid und namentlich im Urteil des Bezirksgerichtes Lenzburg vom 7. September 2000 wird deutlich dargelegt, dass der Beschwerdeführer gemäss den Befunden der psychiatrischen Gutachter nach wie vor unter einer erheblichen Persönlichkeitsstörung leide. Zudem müsse im Falle einer Haftentlassung ernsthaft befürchtet werden, dass sich seine massiven Suchtprobleme (und die damit verbundene Neigung zu Straftaten) erneut einstellen. Der Beschwerdeführer legt denn auch nicht dar, inwiefern allfällige Ersatzmassnahmen (wie z.B. eine ambulante Antabus-Behandlung oder Psychotherapie) im heutigen Zeitpunkt ausreichend Gewähr dafür bieten könnten, dass er nicht wieder Alkohol- und Drogenmissbrauch betreibt und als Folge davon erneut Personen massiv gefährdet oder andere schwere Delikte verübt. h) Bei dieser Sachlage kann offen bleiben, ob neben dem besonderen Haftgrund der Fortsetzungsgefahr auch noch derjenige der Fluchtgefahr erfüllt wäre. Der Eingriff in die persönliche Freiheit des Beschwerdeführers erweist sich nach dem Gesagten als gesetz- und verhältnismässig. Die vom Beschwerdeführer angerufenen weiteren Verfassungsgarantien (Rechtsgleichheitsgebot, Willkürverbot) haben in diesem Zusammenhang keine über das bereits Dargelegte hinausgehende selbständige Bedeutung. 5.- Im Lichte der Begründung des angefochtenen Entscheides sowie der Urteile des Bezirksgerichtes Lenzburg vom 7. September 2000 sowie des Bundesgerichtes vom 9. Januar 1998 (1P. 699/1997) und 7. Januar 2000 (6A. 95/1999) erscheint die Beschwerde als zum Vornherein aussichtslos, weshalb das Gesuch um unentgeltliche Rechtspflege abzuweisen ist ( Art. 152 OG ). Angesichts der wirtschaftlichen Lage des Gesuchstellers kann auf die Erhebung von Gerichtskosten jedoch verzichtet werden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