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1P.782/2005 vom 14. Dezember 2005</w:t>
      </w:r>
    </w:p>
    <w:p>
      <w:r>
        <w:t>Bundesgericht, 2005-12-14, FR</w:t>
      </w:r>
    </w:p>
    <w:p>
      <w:r>
        <w:rPr>
          <w:b/>
        </w:rPr>
        <w:t xml:space="preserve">Quelle: </w:t>
      </w:r>
      <w:r>
        <w:t>https://mcp.opencaselaw.ch/entscheid/bger_1P.782_2005</w:t>
      </w:r>
    </w:p>
    <w:p>
      <w:r>
        <w:t>FR: TF 1P.782/2005 du 14 décembre 2005</w:t>
      </w:r>
    </w:p>
    <w:p>
      <w:r>
        <w:t>IT: TF 1P.782/2005 del 14 dicembre 2005</w:t>
      </w:r>
    </w:p>
    <w:p>
      <w:pPr>
        <w:pStyle w:val="Heading2"/>
      </w:pPr>
      <w:r>
        <w:t>Regeste</w:t>
      </w:r>
    </w:p>
    <w:p>
      <w:r>
        <w:t>détention préventive | Procédure pénale</w:t>
      </w:r>
    </w:p>
    <w:p>
      <w:pPr>
        <w:pStyle w:val="Heading2"/>
      </w:pPr>
      <w:r>
        <w:t>Erwägungen</w:t>
      </w:r>
    </w:p>
    <w:p>
      <w:r>
        <w:rPr>
          <w:b/>
        </w:rPr>
        <w:t>E. 1</w:t>
      </w:r>
    </w:p>
    <w:p>
      <w:r>
        <w:t>Le recours de droit public est formé contre un arrêt rendu en dernière instance cantonale ( art. 86 al. 1 OJ ). Le recourant est personnellement touché par l'arrêt attaqué qui autorise la prolongation de sa détention préventive ( art. 88 OJ ). Compte tenu du pouvoir de décision du Tribunal fédéral en matière de détention préventive, la conclusion tendant à la mise en liberté immédiate du recourant est recevable ( ATF 124 I 327 consid. 4b/aa p. 333).</w:t>
      </w:r>
    </w:p>
    <w:p>
      <w:r>
        <w:rPr>
          <w:b/>
        </w:rPr>
        <w:t>E. 2</w:t>
      </w:r>
    </w:p>
    <w:p>
      <w:r>
        <w:t>Le recourant conteste les risques de fuite et de réitération. Il estime avoir eu une attitude positive durant l'enquête. Bien que de nationalité française, il vit depuis de nombreuses années en Suisse et n'a plus d'attaches avec la France. Son épouse et son enfant demeurent en Suisse. S'agissant des mesures alternatives (obligation de se présenter, interdiction de quitter le territoire suisse), la cour cantonale devait examiner d'office la question. D'autres prévenus dans la même affaire avaient été relâchés car ils disposaient de moyens financiers importants; il y aurait donc inégalité de traitement. Quant au risque de réitération, le recourant estime qu'il ne serait pas concret: après deux ans et demi de détention, le recourant, atteint dans sa santé, se serait amendé. En définitive, la Chambre d'accusation n'aurait pas sérieusement examiné ces questions.</w:t>
      </w:r>
    </w:p>
    <w:p>
      <w:r>
        <w:rPr>
          <w:b/>
        </w:rPr>
        <w:t>E. 2.1</w:t>
      </w:r>
    </w:p>
    <w:p>
      <w:r>
        <w:t>A propos du risque de fuite, les précédentes décisions relèvent que le recourant est français et avait déclaré, au début de l'enquête, qu'il désirait "s'acheter un bateau et partir". Ces éléments, ainsi que la gravité des charges dont le recourant a reconnu l'essentiel et l'absence de toute situation professionnelle, constituaient des indices sérieux, ce qui a été confirmé notamment dans l'arrêt du Tribunal fédéral du 4 avril 2005. Le temps écoulé depuis cet arrêt commandait toutefois une nouvelle évaluation du risque de fuite. En effet, si la perspective d'une longue peine privative de liberté permet en général de présumer l'existence d'un risque de fuite, il y a également lieu de tenir compte de la durée de la détention préventive, normalement imputée sur une éventuelle condamnation. La Chambre d'accusation se devait également d'examiner si d'autres mesures, moins contraignantes, pouvaient permettre de pallier le risque de fuite. Apparemment, le versement d'une caution n'entre pas en ligne de compte; le recourant n'a fourni aucune indication quant au montant qu'il pourrait réunir, susceptible de le dissuader de fuir. Toutefois, en vertu du principe de la proportionnalité, l'autorité doit toujours examiner si les risques qui justifient le maintien de la détention peuvent être supprimés ou diminués par une mesure moins rigoureuse ( ATF 124 I 208 consid. 5 p. 214; 123 I 268 consid. 2c p. 271; 108 Ia 64 consid. 3 p. 67; 102 Ia 379 consid. 2a p. 381; 95 I 202 consid. 2 p. 205). Il y avait donc lieu de s'interroger sur l'efficacité d'autres mesures de contrôle (caution versée par un tiers, dépôt des pièces d'identité, obligation de se présenter régulièrement à une autorité, assignation dans un périmètre déterminé, etc.).</w:t>
      </w:r>
    </w:p>
    <w:p>
      <w:r>
        <w:rPr>
          <w:b/>
        </w:rPr>
        <w:t>E. 2.2</w:t>
      </w:r>
    </w:p>
    <w:p>
      <w:r>
        <w:t>Quant au risque de réitération, il est certes concret. Sur le vu des diverses infractions qui lui sont reprochées, le recourant est apparu "d'emblée prêt à participer à des opérations violentes"; il se contente de réaffirmer - comme il l'avait fait lors de son précédent recours de droit public - qu'il aurait changé, sans qu'il soit possible d'affirmer que cet état serait uniquement dû à la détention, et qu'il perdurera en cas de mise en liberté. Cela étant, le risque de réitération apparaît comme accessoire, et il est également possible que l'instauration de mesures de contrôle et la fixation de conditions (notamment quant à la détention d'armes) permette d'y remédier.</w:t>
      </w:r>
    </w:p>
    <w:p>
      <w:r>
        <w:rPr>
          <w:b/>
        </w:rPr>
        <w:t>E. 2.3</w:t>
      </w:r>
    </w:p>
    <w:p>
      <w:r>
        <w:t>La Chambre d'accusation ne pouvait dès lors se contenter d'affirmer que les risques de fuite et de réitération perduraient, sans se livrer à un examen plus approfondi tenant compte de la durée de la détention déjà subie.</w:t>
      </w:r>
    </w:p>
    <w:p>
      <w:r>
        <w:rPr>
          <w:b/>
        </w:rPr>
        <w:t>E. 3</w:t>
      </w:r>
    </w:p>
    <w:p>
      <w:r>
        <w:t>Selon la jurisprudence, la durée de la détention préventive doit s'apprécier au regard de l'ensemble des circonstances concrètes du cas d'espèce ( ATF 124 I 208 consid. 6 p. 215; 123 I 268 consid. 3a p. 273; 107 Ia 256 consid. 1b p. 257). Elle est excessive lorsqu'elle dépasse celle de la peine privative de liberté qui pourrait être prononcée ( ATF 126 I 172 consid. 5a p. 176/177; 124 I 208 consid. 6 p. 215; 123 I 268 consid. 3a p. 273; 107 Ia 256 consid. 2 et 3 p. 257ss). Cette durée probable de la peine doit être évaluée avec la plus grande prudence, car il faut éviter que le juge de l'action pénale ne soit incité à prononcer une peine excessive pour la faire coïncider avec la détention préventive à imputer ( ATF 116 Ia 143 consid. 5a p. 147).</w:t>
      </w:r>
    </w:p>
    <w:p>
      <w:r>
        <w:rPr>
          <w:b/>
        </w:rPr>
        <w:t>E. 3.1</w:t>
      </w:r>
    </w:p>
    <w:p>
      <w:r>
        <w:t>Arrêté le 19 juin 2003, le recourant se trouve en détention préventive depuis maintenant deux ans et demi, ce qui constitue une durée importante. Dans son arrêt du 4 avril 2005, le Tribunal fédéral avait déjà relevé que la décision cantonale souffrait d'un manque de motivation à ce sujet. Les actes d'enquête concernant le recourant paraissaient avoir été menés à chef. L'enquête ne semblait pas avoir connu de retard inadmissible, mais la question de la proportionnalité devrait être examinée sérieusement si la détention devait se prolonger au-delà du 30 avril 2005. Le 29 avril 2005, la Chambre d'accusation a retenu que la clôture de l'instruction pouvait être envisagée, sauf éléments extraordinaires, à fin juillet. Dans son arrêt du 28 juillet 2005, elle a considéré que la prolongation au 31 octobre 2005 ne constituait pas "pour le moment" un délai maximum, mais que la question devrait être examinée si le Juge d'instruction devait requérir une nouvelle prolongation. Dans chacune de ses décisions, la Chambre d'accusation a considéré que l'enquête avait été menée avec célérité; à la fin du mois de juillet 2005, plus de 300 personnes avaient été entendues, et 154 rapports avaient été déposés, dont certains volumineux. Le recourant ne critique d'ailleurs pas sérieusement le déroulement de l'enquête. Cela étant, force est de constater que si des investigations ont été nécessaires afin de déterminer l'activité de certains comparses du recourant, ni le Juge d'instruction ni la Chambre d'accusation n'indiquent les actes d'enquête qui resteraient à effectuer en ce qui concerne le recourant, depuis sa confrontation le 15 septembre 2005 avec C.________. Dans sa demande de prolongation, le Juge d'instruction mentionne une expertise - dont on ignore l'objet - ainsi que les actes "indispensables à toute fin d'instruction", sans autres indications. Faute de toute précision à cet égard, on ignore en quoi les investigations menées contre ses comparses sont susceptibles d'influer encore sur la situation du recourant. Dans ces circonstances, il n'est pas admissible que la détention du recourant se prolonge indéfiniment et sans réserve, comme cela a été le cas jusqu'ici. Le Juge d'instruction devra fournir des précisions sur l'état de l'enquête, les actes encore nécessaires à l'égard du recourant et le délai dans lequel la clôture pourra intervenir. Les risques de fuite et de réitération devront par ailleurs faire l'objet d'un nouvel examen circonstancié.</w:t>
      </w:r>
    </w:p>
    <w:p>
      <w:r>
        <w:rPr>
          <w:b/>
        </w:rPr>
        <w:t>E. 3.2</w:t>
      </w:r>
    </w:p>
    <w:p>
      <w:r>
        <w:t>Le recours de droit public doit par conséquent être admis pour cette raison. Il ne s'ensuit toutefois pas que le recourant doive être immédiatement remis en liberté (cf. ATF 125 I 113 consid. 3 p. 118 relatif à une violation du droit d'être entendu, également applicable au défaut de motivation; 124 I 327 consid. 4c p. 333). Selon la jurisprudence en effet, l'élargissement du prévenu ne peut être ordonné que s'il n'existe plus de motif de détention, ou si celle-ci apparaît disproportionnée. En l'espèce, il appartiendra à la Chambre d'accusation de statuer à bref délai sur ces questions ( art. 5 par. 4 CEDH ). Si nécessaire, le présent arrêt vaudra entre-temps titre de détention préventive. Le recourant, obtenant gain de cause, a droit à des dépens, ce qui rend sans objet sa demande d'assistance judiciaire.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