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1P.777/2005 vom 23. Januar 2006</w:t>
      </w:r>
    </w:p>
    <w:p>
      <w:r>
        <w:t>Bundesgericht, 2006-01-23, DE</w:t>
      </w:r>
    </w:p>
    <w:p>
      <w:r>
        <w:rPr>
          <w:b/>
        </w:rPr>
        <w:t xml:space="preserve">Quelle: </w:t>
      </w:r>
      <w:r>
        <w:t>https://mcp.opencaselaw.ch/entscheid/bger_1P.777_2005</w:t>
      </w:r>
    </w:p>
    <w:p>
      <w:r>
        <w:t>FR: TF 1P.777/2005 du 23 janvier 2006</w:t>
      </w:r>
    </w:p>
    <w:p>
      <w:r>
        <w:t>IT: TF 1P.777/2005 del 23 gennaio 2006</w:t>
      </w:r>
    </w:p>
    <w:p>
      <w:pPr>
        <w:pStyle w:val="Heading2"/>
      </w:pPr>
      <w:r>
        <w:t>Regeste</w:t>
      </w:r>
    </w:p>
    <w:p>
      <w:r>
        <w:t>Art. 9 BV (Strafverfahren, Einhaltung der Einsprachefrist) | Verfahren</w:t>
      </w:r>
    </w:p>
    <w:p>
      <w:pPr>
        <w:pStyle w:val="Heading2"/>
      </w:pPr>
      <w:r>
        <w:t>Erwägungen</w:t>
      </w:r>
    </w:p>
    <w:p>
      <w:r>
        <w:rPr>
          <w:b/>
        </w:rPr>
        <w:t>E. 1</w:t>
      </w:r>
    </w:p>
    <w:p>
      <w:r>
        <w:t>Der angefochtene Entscheid ist letztinstanzlich und stützt sich auf kantonales Recht; gegen ihn steht von Bundesrechts wegen kein anderes Rechtsmittel offen als die staatsrechtliche Beschwerde ( Art. 84 Abs. 2 und Art. 86 OG ). Da auch die übrigen Sachurteilsvoraussetzungen erfüllt sind, kann auf die Beschwerde - unter dem Vorbehalt gehörig begründeter Rügen ( Art. 90 Abs. 1 lit. b OG ; vgl. BGE 131 I 377 E. 4.3 S. 385 ; 130 I 258 E. 1.3 S. 262; BGE 117 Ia 10 E. 4b S. 11 f.) - eingetreten werden.</w:t>
      </w:r>
    </w:p>
    <w:p>
      <w:r>
        <w:rPr>
          <w:b/>
        </w:rPr>
        <w:t>E. 2</w:t>
      </w:r>
    </w:p>
    <w:p>
      <w:r>
        <w:t>Mit ihr müssen die Abänderungsanträge verbunden werden.</w:t>
      </w:r>
    </w:p>
    <w:p>
      <w:r>
        <w:rPr>
          <w:b/>
        </w:rPr>
        <w:t>E. 2.1</w:t>
      </w:r>
    </w:p>
    <w:p>
      <w:r>
        <w:t>§ 321 der Strafprozessordnung des Kantons Zürich vom 4. Mai 1919 (StPO/ZH; LS 321) lautet in der Fassung vom 27. Januar 2003 wie folgt: 1 Binnen zehn Tagen nach der schriftlichen Mitteilung können der Bestrafte, der Leitende Staatsanwalt und der Geschädigte gegen den Strafbefehl beim zuständigen Staatsanwalt zuhanden des Einzelrichters Einsprache erheben.</w:t>
      </w:r>
    </w:p>
    <w:p>
      <w:r>
        <w:rPr>
          <w:b/>
        </w:rPr>
        <w:t>E. 2.2</w:t>
      </w:r>
    </w:p>
    <w:p>
      <w:r>
        <w:t>Nach Ansicht des Obergerichts folgt aus dem Wortlaut von § 321 Abs. 1 und 2 StPO /ZH, dass die Abänderungsanträge innert der Einsprachefrist zu stellen sind. In der früheren Fassung dieser Bestimmung habe es lediglich geheissen, dass die Abänderungsanträge mit ihr (d.h. der Einsprache) verbunden werden "sollen". Im Vergleich dazu lasse sich das Wort "müssen" nicht anders verstehen denn als Gültigkeitserfordernis; der Wortlaut sei insoweit klar.</w:t>
      </w:r>
    </w:p>
    <w:p>
      <w:r>
        <w:rPr>
          <w:b/>
        </w:rPr>
        <w:t>E. 2.3</w:t>
      </w:r>
    </w:p>
    <w:p>
      <w:r>
        <w:t>Eine Gesetzesbestimmung ist in erster Linie nach ihrem Wortlaut auszulegen. Eine kantonale Behörde verfällt nicht in Willkür, wenn sie sich an den klaren und unzweideutigen Wortlaut einer Gesetzesbestimmung hält ( BGE 125 I 161 E. 3c S. 164). Umgekehrt darf sie ohne Willkür vom Gesetzeswortlaut abweichen, wenn triftige Gründe dafür bestehen, dass er nicht den wahren Sinn der Bestimmung wiedergibt. Solche Gründe können sich aus der Entstehungsgeschichte, aus Sinn und Zweck der Vorschrift und aus dem Zusammenhang mit anderen Gesetzesbestimmungen ergeben ( BGE 87 I 10 E. 3 S. 16 und die seitherige Rechtsprechung ; 131 I 394 E. 3.2 S. 396). Nach diesen Regeln sind insbesondere Bestimmungen des Prozessrechts auszulegen ( BGE 122 I 253 E. 6a S. 254).</w:t>
      </w:r>
    </w:p>
    <w:p>
      <w:r>
        <w:rPr>
          <w:b/>
        </w:rPr>
        <w:t>E. 2.4</w:t>
      </w:r>
    </w:p>
    <w:p>
      <w:r>
        <w:t>Die vom Beschwerdeführer vorgebrachten Willkürrügen erweisen sich weitgehend als appellatorisch (E. 1). Es trifft zu, dass die Abänderungsanträge nach dem Gesetzeswortlaut nicht in der Einsprache selbst enthalten sein müssen. Es genügt, wenn sie mit ihr verbunden werden; davon geht auch das Obergericht aus. Es ist aber angesichts des Wortlauts von § 321 Abs. 2 StPO /ZH nicht nachvollziehbar, wenn der Beschwerdeführer den Schluss zieht, er sei hinsichtlich der Abänderungsanträge von der Einhaltung der Einsprachefrist befreit. Seine Argumentation zeigt insbesondere nicht auf, weshalb es unhaltbar sein soll, dass das Obergericht den Gesetzeswortlaut in der umstrittenen Frage als hinreichend klar für die Annahme eines Gültigkeitserfordernisses erachtet. Triftige Gründe, dass die Bestimmung entgegen ihrem Wortlaut auszulegen wäre, bringt der Beschwerdeführer nicht vor.</w:t>
      </w:r>
    </w:p>
    <w:p>
      <w:r>
        <w:rPr>
          <w:b/>
        </w:rPr>
        <w:t>E. 3</w:t>
      </w:r>
    </w:p>
    <w:p>
      <w:r>
        <w:t>In der hier vorliegenden Konstellation stellt die angefochtene Handhabung von § 321 StPO /ZH keinen Verstoss gegen das verfassungsmässige Recht auf Vertrauensschutz dar. Sie ist auch nicht überspitzt formalistisch, wie der Leitende Staatsanwalt der Staatsanwaltschaft Winterthur / Unterland meint.</w:t>
      </w:r>
    </w:p>
    <w:p>
      <w:r>
        <w:rPr>
          <w:b/>
        </w:rPr>
        <w:t>E. 3.1</w:t>
      </w:r>
    </w:p>
    <w:p>
      <w:r>
        <w:t>Innert Frist hat der Rechtsvertreter des Beschwerdeführers bloss vorsorglich Einsprache erhoben und ausdrücklich noch keine Anträge gestellt. Es verdient keinen Rechtsschutz, wenn ein Rechtsuchender bewusst eine mangelhafte Rechtsschrift einreicht, um dadurch eine Nachfrist für die Begründung zu erwirken ( BGE 108 Ia 209 E. 3 S. 212; Urteil 1P.661/1995 vom 3. Mai 1996, E. 3b in: ZBl 98/1997 S. 307). Unter diesen Umständen war die Staatsanwaltschaft nicht gehalten, den Rechtsvertreter des Beschwerdeführers von Amtes wegen darüber zu informieren, dass die Abänderungsanträge innert der Einsprachefrist zu stellen sind. Ausserdem ging die Eingabe bei ihr erst am 1. Juli 2005, d.h. am letzten Tag der Einsprachefrist ein. Es ist daher ohnehin zweifelhaft, ob der Mangel rechtzeitig hätte behoben werden können, falls die Staatsanwaltschaft ihn vor Fristablauf festgestellt hat. Im Übrigen müssen die Behörden eingehende Eingaben nicht systematisch auf allfällige Mängel hin untersuchen ( BGE 114 Ia 20 E. 2a S. 22; unveröffentlichtes Urteil 2A.139/2005 vom 2. August 2005, E. 3.1). Der Beschwerdeführer kann der Staatsanwaltschaft eine mangelhafte Erfüllung ihrer Amtspflichten nicht mit Erfolg vorwerfen.</w:t>
      </w:r>
    </w:p>
    <w:p>
      <w:r>
        <w:rPr>
          <w:b/>
        </w:rPr>
        <w:t>E. 3.2</w:t>
      </w:r>
    </w:p>
    <w:p>
      <w:r>
        <w:t>Fehl geht der Beschwerdeführer bei seinem Versuch, einen Anspruch auf Vertrauensschutz aus der offenbar grosszügigeren Praxis unter dem früheren Recht abzuleiten. Ebenso wenig kann es hier eine Rolle spielen, wenn die Rechtsmittelbelehrung unter dem früheren Recht gleich lautete. Deren Formulierung lässt sich nicht als behördliche Zusicherung verstehen, wonach eine Einsprache bei vollständigem Fehlen von Abänderungsanträgen formell genügen würde. Somit fehlt es insofern an einer massgeblichen Vertrauensgrundlage ( BGE 131 II 627 E. 6.1 S. 636 ; 130 I 26 E. 8.1 S. 60).</w:t>
      </w:r>
    </w:p>
    <w:p>
      <w:r>
        <w:rPr>
          <w:b/>
        </w:rPr>
        <w:t>E. 3.3</w:t>
      </w:r>
    </w:p>
    <w:p>
      <w:r>
        <w:t>An diesem Ergebnis ändert auch der Umstand nichts, dass der Rechtsvertreter des Beschwerdeführers die Akten trotz frühzeitigem Gesuch erst am 28. Juni 2005 zur Einsicht erhielt. Es ist nicht zu beanstanden, wenn das Obergericht eine Erhebung der Abänderungsanträge bis zum Ablauf der Frist als zumutbar erachtet hat. Folglich hatte der Rechtsbeistand des Beschwerdeführers keine hinreichenden Gründe, sich darauf zu verlassen, dass er die Abänderungsanträge später nachreichen könne.</w:t>
      </w:r>
    </w:p>
    <w:p>
      <w:r>
        <w:rPr>
          <w:b/>
        </w:rPr>
        <w:t>E. 4</w:t>
      </w:r>
    </w:p>
    <w:p>
      <w:r>
        <w:t>Nach dem Gesagten ist die Beschwerde abzuweisen, soweit darauf eingetreten werden kann.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