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1P.773/2000 vom 12. Januar 2001</w:t>
      </w:r>
    </w:p>
    <w:p>
      <w:r>
        <w:t>Bundesgericht, 2001-01-12, FR</w:t>
      </w:r>
    </w:p>
    <w:p>
      <w:r>
        <w:rPr>
          <w:b/>
        </w:rPr>
        <w:t xml:space="preserve">Quelle: </w:t>
      </w:r>
      <w:r>
        <w:t>https://mcp.opencaselaw.ch/entscheid/bger_1P.773_2000</w:t>
      </w:r>
    </w:p>
    <w:p>
      <w:r>
        <w:t>FR: TF 1P.773/2000 du 12 janvier 2001</w:t>
      </w:r>
    </w:p>
    <w:p>
      <w:r>
        <w:t>IT: TF 1P.773/2000 del 12 gennaio 2001</w:t>
      </w:r>
    </w:p>
    <w:p>
      <w:pPr>
        <w:pStyle w:val="Heading2"/>
      </w:pPr>
      <w:r>
        <w:t>Erwägungen</w:t>
      </w:r>
    </w:p>
    <w:p>
      <w:r>
        <w:rPr>
          <w:b/>
        </w:rPr>
        <w:t>E. 1</w:t>
      </w:r>
    </w:p>
    <w:p>
      <w:r>
        <w:t>a) En règle générale, selon la jurisprudence relative à l' art. 84 al. 1 OJ , le recours de droit public ne peut être dirigé que contre un acte d'une autorité cantonale agissant en vertu de la puissance publique, affectant d'une façon quelconque la situation de l'individu en lui imposant une obligation de faire, de s'abstenir ou de tolérer, soit sous la forme d'un arrêté de portée générale, soit sous celle d'une décision particulière ( ATF 120 Ia 325 consid. 3a; 114 Ia 15 consid. 1a; 113 Ia 234 consid. 1). La qualité pour recourir appartient à celui qui est atteint par l'acte attaqué dans ses intérêts personnels et juridiquement protégés ( art. 88 OJ ; ATF 126 I 81 consid. 3b p. 85, 124 I 159 consid. 1c p. 161/162).</w:t>
      </w:r>
    </w:p>
    <w:p>
      <w:r>
        <w:t>Si la mesure en cause n'est pas susceptible d'un recours sur le fond, faute d'atteinte à la situation juridique de la personne impliquée, le recours de droit public est néanmoins ouvert au plaideur à qui le droit cantonal confère des droits de partie à la procédure; le recourant peut alors seulement faire valoir que ces droits de partie, ou que les garanties constitutionnelles en matière de procédure ont été violés, et qu'il en résulte un déni de justice formel ( ATF 126 I 81 consid. 3b in fine p. 86, 114 Ia 307 consid. 3cp. 312; voir aussi ATF 125 II 86 consid. 3b p. 94).</w:t>
      </w:r>
    </w:p>
    <w:p>
      <w:r>
        <w:t>En l'occurrence, le recourant se borne à critiquer la participation du Juge Pitteloud et à se plaindre d'une violation du droit d'être entendu, sans prétendre que la mesure litigieuse soit en elle-même contraire à ses droits constitutionnels.</w:t>
      </w:r>
    </w:p>
    <w:p>
      <w:r>
        <w:t>De tels griefs, qui se rapportent exclusivement à la procédure, sont de toute manière recevables; il n'est donc pas nécessaire d'examiner si, conformément à l'opinion du Tribunal cantonal, l'interdiction de procéder à des auditions et d'ouvrir de nouvelles enquêtes est une "simple mesure d'organisation", dépourvue d'incidence sur la situation juridique personnelle du Juge Addor.</w:t>
      </w:r>
    </w:p>
    <w:p>
      <w:r>
        <w:t>b) Le prononcé relatif à une mesure conservatoire, prise pour la durée d'une procédure en cours, est en général considéré comme une décision finale ( ATF 118 II 369 consid. 1 p. 371, 116 Ia 446 consid. 2 p. 447; voir aussi ATF 104 Ib 129 consid. 2 p. 132 concernant la suspension provisoire d'un agent public). Le recours de droit public est donc recevable aussi au regard de l' art. 87 OJ .</w:t>
      </w:r>
    </w:p>
    <w:p>
      <w:r>
        <w:t>c) Pour le surplus, il n'est pas contesté que la décision refusant la récusation du Juge Pitteloud, dans la procédure administrative actuellement en cours, puisse faire l'objet d'un recours de droit public du magistrat visé par cette procédure.</w:t>
      </w:r>
    </w:p>
    <w:p>
      <w:r>
        <w:rPr>
          <w:b/>
        </w:rPr>
        <w:t>E. 2</w:t>
      </w:r>
    </w:p>
    <w:p>
      <w:r>
        <w:t>a) 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qui comprennent les prescriptions relatives àla récusation des juges. Elle permet aussi, indépendamment du droit cantonal, d'exiger la récusation d'un juge dontla situation ou le comportement est de nature à faire naître un doute sur son impartialité; elle tend notamment à éviter que des circonstances extérieures à la cause ne puissent influencer le jugement en faveur ou au détriment d'une partie.</w:t>
      </w:r>
    </w:p>
    <w:p>
      <w:r>
        <w:t>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126 I 168 consid. 2ap. 169, 125 I 119 consid. 3a p. 122, 124 I 255 consid. 4ap. 261).</w:t>
      </w:r>
    </w:p>
    <w:p>
      <w:r>
        <w:t>Il n'est pas nécessaire de déterminer si les art. 6 par. 1 CEDH et 30 al. 1 Cst. s'appliquent aussi au Tribunal cantonal du canton du Valais lorsque celui-ci intervient à titre d'autorité administrative (cf. ATF 120 Ia 184 consid. 2a p. 186 et consid. 2f p. 189). En effet, en dehors du champ d'application de ces règles, l' art. 29 al. 1 Cst. assure de toute manière une garantie de même portée (jurisprudence relative à l' art. 4 aCst. : ATF 125 I 119 consid. 3bp. 123 et les arrêts cités), à ceci près que cette disposition, à la différence desdites règles, n'impose pas l'indépendance et l'impartialité comme maxime d'organisation des autorités concernées (ibidem, consid. 3f p. 124).</w:t>
      </w:r>
    </w:p>
    <w:p>
      <w:r>
        <w:t>b) En l'espèce, le recourant met en doute l'impartialité d'un membre du Tribunal cantonal - le Juge Pitteloud - en raison de son intervention auprès de l'un des juges d'instruction pénale du Valais central. Le Juge d'instruction de Lavallaz ayant raconté au Juge cantonal Pitteloud un incident prétendument survenu dans les locaux de l'office, ce dernier a recherché, auprès du Juge Délez, une éventuelle confirmation de ce récit et, le cas échéant, d'autres renseignements sur les conséquences que pouvaient peut-être entraîner, sur l'activité des juges d'instruction, l'existence de la dénonciation pénale visant l'un d'eux. D'après le Juge Délez, cette démarche du Juge Pitteloud est intervenue vers le 15 novembre 2000; or, à ce moment, le Tribunal cantonal n'avait pas encore ouvert de procédure administrative à l'égard du Juge Addor. Le Juge Pitteloud n'a donc pas empiété sur les attributions de la délégation constituée ultérieurement pour l'instruction de cette procédure. Par ailleurs, compte tenu que le Tribunal cantonal est l'autorité de surveillance des juges d'instruction, et que le Juge Pitteloud était membre de la commission disciplinaire qui avait proposé la sanction infligée en juin 2000, la démarche de ce magistrat, à la suite du récit fait par le Juge de Lavallaz, ne présente pas de caractère suffisamment insolite ou tendancieux pour justifier un doute sur son impartialité.</w:t>
      </w:r>
    </w:p>
    <w:p>
      <w:r>
        <w:t>L'attitude amicale du Juge Pitteloud à l'égard de l'ancien procureur Antonioli, alors que ce dernier attendait d'être interrogé par la délégation du Tribunal cantonal, n'est pas non plus insolite, si l'on prend en considération que ces deux personnes se connaissaient et avaient eu de longues relations professionnelles. On ne discerne aucun motif objectif de soupçonner qu'à cette occasion, le Juge Pitteloud ait cherché à obtenir de façon non officielle des renseignements sur l'affaire, ni qu'il ait tenté d'influencer la déposition de l'ancien procureur. La suspicion de partialité apparaît ainsi injustifiée; le Juge Pitteloud peut au contraire, sans violation de l' art. 29 al. 1 Cst. , prendre part aux actes de la procédure administrative concernant le recourant.</w:t>
      </w:r>
    </w:p>
    <w:p>
      <w:r>
        <w:rPr>
          <w:b/>
        </w:rPr>
        <w:t>E. 3</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124 II 132 consid. 2b p. 137, 123 I 63 consid. 2a p. 66, 123 II 175 consid. 6c p. 183/184). Cette garantie constitutionnelle n'est toutefois pas absolue et des restrictions sont admises, en particulier, lorsqu'il existe une situation d'urgence; l'autorité peut alors renoncer à l'audition préalable de la personne visée ( ATF 99 Ia 22 consid. c p. 24/25; voir aussi ATF 126 II 111 consid. 6b/aa p. 123).</w:t>
      </w:r>
    </w:p>
    <w:p>
      <w:r>
        <w:t>La délégation du Tribunal cantonal a procédé à l'audition du recourant le 23 novembre 2000, soit quatre jours avant la décision litigieuse. D'après le procès-verbal, elle a ouvert la séance en indiquant que le Juge Métral avait annoncé l'ouverture d'une enquête judiciaire, et que sa propre mission consistait à rechercher si un juge d'instruction peut s'acquitter de sa charge bien qu'il soit lui-même, désormais, en position de prévenu. L'avocat du recourant a d'emblée fait valoir qu'à son avis, la situation n'exigeait aucune mesure immédiate, et il a pris position contre une éventuelle suspension. Pour le surplus, la décision n'est fondée sur aucun fait nouveau ou nouvellement connu, sur lequel le recourant n'aurait pas eu l'occasion de s'exprimer.</w:t>
      </w:r>
    </w:p>
    <w:p>
      <w:r>
        <w:t>Le Tribunal cantonal a donc respecté le droit d'être entendu, préalablement à la suspension partielle ordonnée, à titre provisoire, le 27 novembre. Il n'est pas nécessaire d'examiner si la décision est intervenue dans une situation d'urgence propre à justifier une autre solution moins respectueuse du droit d'être entendu. Il est par ailleurs évident que le recourant devra être mis en mesure de se prononcer sur l'instruction effectuée par la délégation, avant la décision qui mettra fin à la procédure administrative.</w:t>
      </w:r>
    </w:p>
    <w:p>
      <w:r>
        <w:rPr>
          <w:b/>
        </w:rPr>
        <w:t>E. 4</w:t>
      </w:r>
    </w:p>
    <w:p>
      <w:r>
        <w:t>Les griefs présentés se révèlent privés de fondement, ce qui entraîne le rejet des deux recours; l'émolument judiciaire incombe à leur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