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1P.766/2005 vom 2. März 2006</w:t>
      </w:r>
    </w:p>
    <w:p>
      <w:r>
        <w:t>Bundesgericht, 2006-03-02, FR</w:t>
      </w:r>
    </w:p>
    <w:p>
      <w:r>
        <w:rPr>
          <w:b/>
        </w:rPr>
        <w:t xml:space="preserve">Quelle: </w:t>
      </w:r>
      <w:r>
        <w:t>https://mcp.opencaselaw.ch/entscheid/bger_1P.766_2005</w:t>
      </w:r>
    </w:p>
    <w:p>
      <w:r>
        <w:t>FR: TF 1P.766/2005 du 2 mars 2006</w:t>
      </w:r>
    </w:p>
    <w:p>
      <w:r>
        <w:t>IT: TF 1P.766/2005 del 2 marzo 2006</w:t>
      </w:r>
    </w:p>
    <w:p>
      <w:pPr>
        <w:pStyle w:val="Heading2"/>
      </w:pPr>
      <w:r>
        <w:t>Erwägungen</w:t>
      </w:r>
    </w:p>
    <w:p>
      <w:r>
        <w:rPr>
          <w:b/>
        </w:rPr>
        <w:t>E. 1</w:t>
      </w:r>
    </w:p>
    <w:p>
      <w:r>
        <w:t>Le Tribunal fédéral examine d'office et librement la recevabilité des recours qui lui sont soumis ( ATF 130 I 312 consid. 1 p. 317; 130 II 249 consid. 2 p. 250, 302 consid. 3 p. 303/304, 306 consid. 1.1 p. 308 et les arrêts cités).</w:t>
      </w:r>
    </w:p>
    <w:p>
      <w:r>
        <w:rPr>
          <w:b/>
        </w:rPr>
        <w:t>E. 1.1</w:t>
      </w:r>
    </w:p>
    <w:p>
      <w:r>
        <w:t>La décision attaquée ordonne, en dernière instance cantonale, la levée d'un séquestre pénal en application de l'art. 181 du code de procédure pénale genevois (CPP/GE), soit du droit cantonal de procédure. Le recours de droit public est donc ouvert à son encontre.</w:t>
      </w:r>
    </w:p>
    <w:p>
      <w:r>
        <w:rPr>
          <w:b/>
        </w:rPr>
        <w:t>E. 1.2</w:t>
      </w:r>
    </w:p>
    <w:p>
      <w:r>
        <w:t>Le prononcé par lequel le juge ordonne, refuse, maintient ou lève un séquestre pénal constitue une décision incidente, dont la jurisprudence admet qu'elle peut entraîner un dommage irréparable au sens de l' art. 87 al. 2 OJ ( ATF 128 I 129 consid. 1 p. 130/131; 126 I 97 consid. 1b p. 100/101).</w:t>
      </w:r>
    </w:p>
    <w:p>
      <w:r>
        <w:rPr>
          <w:b/>
        </w:rPr>
        <w:t>E. 1.2.1</w:t>
      </w:r>
    </w:p>
    <w:p>
      <w:r>
        <w:t>Dans leurs mémoires respectifs, les intimés C.________ et consorts ainsi que X.________ et Y.________, ces deux dernières en produisant diverses pièces à l'appui, ont évoqué un séquestre civil, ordonné le 26 octobre 2005 en faveur des recourants et frappant les avoirs de C.________ auprès de X.________ et Y.________. Faisant valoir que la levée du séquestre pénal laissait subsister le séquestre civil, ils contestaient que la décision attaquée puisse causer un préjudice irréparable aux recourants. Pour l'essentiel, les pièces produites sont postérieures à la décision attaquée, comme d'ailleurs le fait, soit le séquestre civil, qu'elles visent à prouver; nonobstant leur nouveauté, ces éléments eussent néanmoins pu être pris en considération, dès lors qu'il viennent à l'appui d'une question de recevabilité ( ATF 114 Ia 204 consid. 1a p. 205/206). Ultérieurement, par courrier du 18 janvier 2006, les intimés X.________ et Y.________, par l'intermédiaire de leur conseil, ont toutefois fait parvenir au Tribunal fédéral un jugement rendu le 13 janvier 2006 par le Tribunal de première instance du canton de Genève, dont il résulte que le séquestre civil a été frappé d'oppositions, dont l'une a été admise, ce qui a conduit à l'annulation de la décision ordonnant ce séquestre. La question soulevée par les intimés dans leurs mémoires, de l'incidence possible du séquestre civil sur la recevabilité du recours de droit public, ne se pose donc plus.</w:t>
      </w:r>
    </w:p>
    <w:p>
      <w:r>
        <w:rPr>
          <w:b/>
        </w:rPr>
        <w:t>E. 1.2.2</w:t>
      </w:r>
    </w:p>
    <w:p>
      <w:r>
        <w:t>La levée du séquestre litigieux a pour effet que les recourants sont exposés à ce que les avoirs libérés, qui eussent pu servir à l'exécution d'une créance compensatrice dont ils auraient pu demander l'allocation selon l' art. 60 CP , ne soient plus disponibles. Elle est donc susceptible d'entraîner un dommage irréparable pour les recourants. Subséquemment, le recours est recevable sous l'angle de l' art. 87 OJ .</w:t>
      </w:r>
    </w:p>
    <w:p>
      <w:r>
        <w:rPr>
          <w:b/>
        </w:rPr>
        <w:t>E. 1.3</w:t>
      </w:r>
    </w:p>
    <w:p>
      <w:r>
        <w:t>Les recourants ont un intérêt personnel et juridiquement protégé à l'annulation de la décision attaquée, en tant que cette dernière les prive de la possibilité d'obtenir la réparation de leur dommage par l'allocation, en application de l' art. 60 CP , de la créance compensatrice à l'exécution de laquelle eussent pu servir les avoirs libérés. Ils ont donc qualité pour recourir selon l' art. 88 OJ .</w:t>
      </w:r>
    </w:p>
    <w:p>
      <w:r>
        <w:rPr>
          <w:b/>
        </w:rPr>
        <w:t>E. 1.4</w:t>
      </w:r>
    </w:p>
    <w:p>
      <w:r>
        <w:t>Saisi d'un recours d'un recours de droit public, le Tribunal fédéral ne peut examiner que les griefs d'ordre constitutionnel invoqués et suffisamment motivés dans l'acte de recours (cf. art. 90 al. 1 let. b OJ ; ATF 127 I 38 consid. 3c p. 43; 126 III 534 consid. 1b p. 536; 125 I 71 consid. 1c p. 76, 492 consid. 1b p. 495 et les arrêts cités). Sous peine d'irrecevabilité, le recourant doit donc non seulement indiquer quels sont les droits constitutionnels qui, selon lui, auraient été violés, mais démontrer, pour chacun d'eux, en quoi consiste cette violation.</w:t>
      </w:r>
    </w:p>
    <w:p>
      <w:r>
        <w:rPr>
          <w:b/>
        </w:rPr>
        <w:t>E. 2</w:t>
      </w:r>
    </w:p>
    <w:p>
      <w:r>
        <w:t>Les recourants invoquent une violation de leur droit d'être entendus, à raison d'une motivation insuffisante. Ils reprochent à l'autorité cantonale d'avoir écarté sans les discuter les arguments avancés par le juge d'instruction pour justifier le maintien du séquestre.</w:t>
      </w:r>
    </w:p>
    <w:p>
      <w:r>
        <w:rPr>
          <w:b/>
        </w:rPr>
        <w:t>E. 2.1</w:t>
      </w:r>
    </w:p>
    <w:p>
      <w:r>
        <w:t>Le droit d'être entendu garanti par l' art. 29 al. 2 Cst. implique notamment que le juge motive sa décision de manière à ce que le destinataire de celle-ci puisse la comprendre et l'attaquer utilement s'il y a lieu et à ce que l'autorité de recours puisse exercer son contrôle ( ATF 129 I 232 consid. 3.2 p. 236 et les références citées). Il suffit, pour satisfaire à ces exigences, que l'autorité examine les questions décisives pour l'issue du litige et expose les motifs qui fondent sa décision de manière à ce que le destinataire de celle-ci puisse en saisir la portée et exercer ses droits de recours à bon escient; elle n'est pas tenue de discuter de façon détaillée tous les arguments avancés et n'est pas davantage astreinte à se prononcer séparément sur chacune des conclusions qui lui sont présentées ( ATF 130 II 530 consid. 4.3 p. 540; 129 I 232 consid. 3.2 p. 236; 126 I 97 consid. 2b p. 102).</w:t>
      </w:r>
    </w:p>
    <w:p>
      <w:r>
        <w:rPr>
          <w:b/>
        </w:rPr>
        <w:t>E. 2.2</w:t>
      </w:r>
    </w:p>
    <w:p>
      <w:r>
        <w:t>En l'espèce, l'autorité cantonale était amenée à examiner si le maintien du séquestre, ordonné en application de l' art. 181 CPP /GE, était justifié et l'a nié, au motif que, faute de prévention suffisante, les conditions de cette disposition n'étaient pas réalisées. A l'appui, elle a observé que les allégations des recourants relatives à leur enlèvement et à l'absence de contrôle de leur détention étaient infirmées par des documents du Ministère public d'Abu Dhabi, versés à la procédure par les intimés. S'agissant de l'ordre de transfert du 9 juillet 2002 de leurs avoirs en faveur de l'intimé C.________, leurs allégations - selon lesquelles leur gestionnaire genevois n'avait pas cherché à les joindre pour en obtenir confirmation - étaient contredites par les déclarations faites par celui-ci au juge d'instruction et qu'ils n'avaient pas sérieusement contestées. Quant à la convention du 15 septembre 2002, les recourants avaient reconnu le 20 septembre 2004 devant le juge d'instruction avoir discuté de son libellé et de sa signature avec l'un de leurs mandataires et avoir, avec ce dernier, rencontré l'autre à Abu Dhabi; ces deux avocats, bien que déliés de leur secret professionnel, avaient au demeurant refusé de témoigner dans la présente procédure.</w:t>
      </w:r>
    </w:p>
    <w:p>
      <w:r>
        <w:t>L'autorité cantonale s'est ainsi prononcée sur les questions déterminantes pour l'issue du litige et a dûment motivé sa décision sur ces points, exposant ce qui la conduisait à tenir la prévention pour insuffisante et, partant, à considérer que le maintien du séquestre ne se justifiait pas. Elle n'avait pas, en sus, à expliquer pourquoi elle ne retenait pas l'opinion contraire du juge d'instruction, qu'elle avait exposée de manière détaillée plus avant, et à discuter chacun des arguments venant à l'appui. Sa motivation permet de comprendre sans difficulté quelle solution elle a retenue et les motifs de sa conviction, en particulier sur quels éléments elle s'est fondée pour écarter l'opinion du juge d'instruction. Les recourants ne démontrent au demeurant pas, conformément aux exigences de motivation de l' art. 90 al. 1 let. b OJ , que la motivation cantonale serait lacunaire au point qu'ils ne pouvaient en saisir la portée et l'attaquer à bon escient. Le grief, autant qu'il est recevable, est donc infondé.</w:t>
      </w:r>
    </w:p>
    <w:p>
      <w:r>
        <w:rPr>
          <w:b/>
        </w:rPr>
        <w:t>E. 3</w:t>
      </w:r>
    </w:p>
    <w:p>
      <w:r>
        <w:t>Les recourants se plaignent d'arbitraire dans l'appréciation des preuves.</w:t>
      </w:r>
    </w:p>
    <w:p>
      <w:r>
        <w:rPr>
          <w:b/>
        </w:rPr>
        <w:t>E. 3.1</w:t>
      </w:r>
    </w:p>
    <w:p>
      <w:r>
        <w:t>La notion d'arbitraire, prohibé par l' art. 9 Cst. , a été rappelée dans divers arrêts récents, auxquels on peut donc se référer. En bref, il ne suffit pas, pour qu'il y ait arbitraire, que la décision attaquée apparaisse critiquable; il faut qu'elle soit manifestement insoutenable et cela non seulement dans sa motivation mais dans son résultat ( ATF 129 I 8 consid. 2.1 p. 9, 173 consid. 3.1 p. 178; 128 I 177 consid. 2.1 p. 182, 273 consid. 2.1 p. 275 et les arrêts cités). Conformément à l' art. 90 al. 1 let. b OJ , l'arbitraire allégué doit par ailleurs être suffisamment démontré, sous peine d'irrecevabilité (cf. supra, consid. 1.4).</w:t>
      </w:r>
    </w:p>
    <w:p>
      <w:r>
        <w:rPr>
          <w:b/>
        </w:rPr>
        <w:t>E. 3.2</w:t>
      </w:r>
    </w:p>
    <w:p>
      <w:r>
        <w:t>Les recourants soutiennent d'abord que l'instruction pénale émiratie a été irrégulière, affirmant n'avoir jamais été déférés à un magistrat durant leur détention, dont ils n'auraient jamais pu contrôler la prolongation, et n'avoir jamais été accompagnés d'un avocat lors d'une audience d'instruction. Ces allégations ne seraient démenties par aucune pièce du dossier. Elles étayeraient leur accusation de séquestration, que l'autorité cantonale ne pouvait écarter sans confronter aux arguments du juge d'instruction les pièces fournies par les intimés, et non seulement celles remises à ce magistrat par le Ministère public d'Abu Dhabi.</w:t>
      </w:r>
    </w:p>
    <w:p>
      <w:r>
        <w:t>La décision attaquée retient que les allégations des recourants relatives à leur enlèvement et à l'absence de contrôle de leur détention sont infirmées par les pièces fournies par le Ministère public d'Abu Dhabi. Les recourants ne démontrent nullement qu'il était arbitraire de l'admettre. Que leurs allégations ne seraient démenties par aucune pièce du dossier, ainsi qu'ils l'affirment, n'est dès lors aucunement établi.</w:t>
      </w:r>
    </w:p>
    <w:p>
      <w:r>
        <w:t>Les pièces du Ministère public d'Abu Dhabi sur lesquelles s'est fondée l'autorité cantonale pour écarter les allégations des recourants ont, selon la décision attaquée, été remises au juge d'instruction par les intimés, en annexe d'un courrier qu'ils avaient adressé à ce magistrat le 1er octobre 2004. Les recourants ne le contestent en rien et, pour le surplus, ne disent pas de quelles autres pièces produites par les intimés l'autorité cantonale aurait dû tenir compte. Il n'est dès lors en rien démontré que l'autorité cantonale aurait écarté les allégations des recourants en omettant arbitrairement de tenir compte de pièces produites par les intimés.</w:t>
      </w:r>
    </w:p>
    <w:p>
      <w:r>
        <w:rPr>
          <w:b/>
        </w:rPr>
        <w:t>E. 3.3</w:t>
      </w:r>
    </w:p>
    <w:p>
      <w:r>
        <w:t>Les recourants reprochent ensuite à l'autorité cantonale d'avoir méconnu le caractère "éminemment insolite" du transfert de leurs avoirs du 9 juillet 2002. Ils relèvent que ce transfert est intervenu quelques jours après leur arrestation à Abu Dhabi, alors qu'ils ne disposaient plus d'un téléphone portable, et qu'il est donc douteux que leur gestionnaire genevois, E.________, ait pu les contacter pour en obtenir confirmation. De plus, la formulation inhabituelle de l'ordre de transfert eût dû inciter la banque F.________ à s'interroger à ce sujet, plutôt que d'exécuter cet ordre "en urgence, toutes affaires cessantes". Dans ces conditions, c'est de manière arbitraire que l'autorité cantonale aurait tenu la conversation téléphonique alléguée par E.________ pour décisive.</w:t>
      </w:r>
    </w:p>
    <w:p>
      <w:r>
        <w:t>Les recourants semblent ainsi vouloir soutenir que le transfert d'avoirs du 9 juillet 2002 aurait été effectué sous la contrainte et que l'autorité cantonale l'aurait méconnu arbitrairement. Ils ne contestent toutefois pas que E.________, entendu le 28 juillet puis le 31 août 2004 par le juge d'instruction, a affirmé et maintenu avoir obtenu d'eux, plus précisément du recourant A.________, la confirmation orale de l'ordre de transfert lors d'une conversation téléphonique et que, confronté le 31 août 2004 à E.________ devant le juge d'instruction, le recourant A.________ n'a pas sérieusement contesté cette confirmation. Que ce serait de manière arbitraire que l'autorité cantonale aurait déduit de ces éléments qu'il n'était pas établi que le transfert avait été effectué sous la contrainte n'est donc nullement démontré.</w:t>
      </w:r>
    </w:p>
    <w:p>
      <w:r>
        <w:t>Au reste, la simple allégation que le libellé de l'ordre de transfert eût dû inciter la banque F.________ à se poser des questions avant d'exécuter cet ordre ne constitue certes pas une démonstration de l'arbitraire allégué.</w:t>
      </w:r>
    </w:p>
    <w:p>
      <w:r>
        <w:rPr>
          <w:b/>
        </w:rPr>
        <w:t>E. 3.4</w:t>
      </w:r>
    </w:p>
    <w:p>
      <w:r>
        <w:t>Les recourants font encore grief à l'autorité cantonale d'avoir arbitrairement méconnu qu'ils n'étaient pas assistés de manière effective par leurs deux avocats lors de la conclusion de l'accord du 15 septembre 2002.</w:t>
      </w:r>
    </w:p>
    <w:p>
      <w:r>
        <w:t>La décision attaquée retient que, lors de leur audition du 20 septembre 2004 par le juge d'instruction, les recourants ont expressément reconnu qu'ils étaient assistés de Me H.________ en 2002, dans l'affaire qui les opposait à C.________, qu'ils avaient alors discuté avec lui du libellé et de la signature de l'accord du 15 septembre 2002 et qu'ils avaient en outre rencontré avec lui Me G.________ à Abou Dhabi. Il n'était pas arbitraire d'en déduire que les recourants, non seulement avaient donné mandat aux avocats précités pour la conclusion de l'accord du 15 septembre 2002, mais avaient pu mettre au point cet accord avec eux, tant en ce qui concerne son contenu que sa signature. Les recourants n'établissent en tout cas pas le contraire, se bornant à reproduire l'opinion du juge d'instruction réfutée par l'argumentation de l'autorité cantonale.</w:t>
      </w:r>
    </w:p>
    <w:p>
      <w:r>
        <w:rPr>
          <w:b/>
        </w:rPr>
        <w:t>E. 3.5</w:t>
      </w:r>
    </w:p>
    <w:p>
      <w:r>
        <w:t>Au vu de ce qui précède, le grief d'arbitraire est irrecevable, faute d'être étayé par une motivation suffisante au regard des exigences de l' art. 90 al. 1 let. b OJ .</w:t>
      </w:r>
    </w:p>
    <w:p>
      <w:r>
        <w:rPr>
          <w:b/>
        </w:rPr>
        <w:t>E. 4</w:t>
      </w:r>
    </w:p>
    <w:p>
      <w:r>
        <w:t>Les recourants invoquent une violation de la garantie de la propriété. Soutenant que leurs allégations selon lesquelles ils ont été dépouillés par C.________ sont démontrées et que l'autorité cantonale n'en a pas moins ordonné la levée du séquestre, ils font valoir que "ce faisant, elle refuse l'application - dans la meilleure des hypothèses - de l'art. 141bis du code pénal (utilisation sans droit de valeurs patrimoniales), qui concrétise la garantie constitutionnelle de la propriété".</w:t>
      </w:r>
    </w:p>
    <w:p>
      <w:r>
        <w:t>Cette argumentation est incompréhensible et ne constitue en tout cas aucune démonstration d'une violation de la garantie invoquée. Partant, le grief est irrecevable.</w:t>
      </w:r>
    </w:p>
    <w:p>
      <w:r>
        <w:rPr>
          <w:b/>
        </w:rPr>
        <w:t>E. 5</w:t>
      </w:r>
    </w:p>
    <w:p>
      <w:r>
        <w:t>Le recours de droit public doit ainsi être rejeté dans la mesure où il est recevable.</w:t>
      </w:r>
    </w:p>
    <w:p>
      <w:r>
        <w:t>Les recourants, qui succombent, supporteront les frais, conjointement ( art. 156 al. 1 et 7 OJ ).</w:t>
      </w:r>
    </w:p>
    <w:p>
      <w:r>
        <w:t>Une indemnité de dépens sera allouée aux intimées X.________ et Y.________ ainsi qu'aux intimés C.________ et consorts, à la charge des recourants, conjointement ( art. 159 al. 1 et 5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