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1P.739/2005 vom 21. November 2005</w:t>
      </w:r>
    </w:p>
    <w:p>
      <w:r>
        <w:t>Bundesgericht, 2005-11-21, FR</w:t>
      </w:r>
    </w:p>
    <w:p>
      <w:r>
        <w:rPr>
          <w:b/>
        </w:rPr>
        <w:t xml:space="preserve">Quelle: </w:t>
      </w:r>
      <w:r>
        <w:t>https://mcp.opencaselaw.ch/entscheid/bger_1P.739_2005</w:t>
      </w:r>
    </w:p>
    <w:p>
      <w:r>
        <w:t>FR: TF 1P.739/2005 du 21 novembre 2005</w:t>
      </w:r>
    </w:p>
    <w:p>
      <w:r>
        <w:t>IT: TF 1P.739/2005 del 21 novembre 2005</w:t>
      </w:r>
    </w:p>
    <w:p>
      <w:pPr>
        <w:pStyle w:val="Heading2"/>
      </w:pPr>
      <w:r>
        <w:t>Erwägungen</w:t>
      </w:r>
    </w:p>
    <w:p>
      <w:r>
        <w:rPr>
          <w:b/>
        </w:rPr>
        <w:t>E. 1</w:t>
      </w:r>
    </w:p>
    <w:p>
      <w:r>
        <w:t>Le Tribunal fédéral peut traiter selon une procédure simplifiée les recours manifestement irrecevables ( art. 36a al. 1 let. a OJ ). Son arrêt est alors sommairement motivé ( art. 36a al. 3 OJ ).</w:t>
      </w:r>
    </w:p>
    <w:p>
      <w:r>
        <w:rPr>
          <w:b/>
        </w:rPr>
        <w:t>E. 2</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La jurisprudence rendue en application de l' art. 88 OJ exclut en principe de reconnaître la qualité pour recourir à celui qui se prétend victime d'une infraction contre le patrimoine, telle que l'abus de confiance, le vol ou l'escroquerie, lorsque la contestation porte sur une ordonnance de classement ou de non-lieu ( ATF 128 I 218 consid. 1.1 p. 219, notamment).</w:t>
      </w:r>
    </w:p>
    <w:p>
      <w:r>
        <w:t>La recourante se prévaut cependant de la jurisprudence selon laquelle toute partie à une procédure peut, indépendamment de ses griefs sur le fond, se plaindre d'une violation des droits formels que lui reconnaît la législation cantonale ou qui sont garantis directement par la Constitution, lorsque cela équivaut à un déni de justice formel ( ATF 129 II 297 consid. 2.3 p. 301; 126 I 81 consid. 3b p. 86 et les arrêts cités). Il n'est cependant pas admissible, dans ce cadre, de se plaindre d'une motivation insuffisante de la décision attaquée, ni du refus d'administrer une preuve sur la base d'une appréciation anticipée de celle-ci car ces points sont indissociables de la décision sur le fond, qui ne saurait être ainsi indirectement mise en cause ( ATF 129 I 217 consid. 1.4 p. 222; 120 Ia 227 consid. 1 p. 230 et les arrêts cités). Or, en l'occurrence, la recourante critique le refus de donner suite à ses offres de preuves. On se trouve précisément dans l'hypothèse où le plaignant ou partie civile n'est pas admis à dénoncer un déni de justice formel. Les conditions de l' art. 88 OJ n'étant manifestement pas remplies, le recours de droit public est donc d'emblée irrecevable.</w:t>
      </w:r>
    </w:p>
    <w:p>
      <w:r>
        <w:rPr>
          <w:b/>
        </w:rPr>
        <w:t>E. 3</w:t>
      </w:r>
    </w:p>
    <w:p>
      <w:r>
        <w:t>La recourante, qui succombe, doit supporter l'émolument judiciaire ( art. 153, 153a et 156 al. 1 OJ ). L'intimé, qui n'a pas été invité à procéder, n'a pas droit à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