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1P.731/2001 vom 15. April 2002</w:t>
      </w:r>
    </w:p>
    <w:p>
      <w:r>
        <w:t>Bundesgericht, 2002-04-15, DE</w:t>
      </w:r>
    </w:p>
    <w:p>
      <w:r>
        <w:rPr>
          <w:b/>
        </w:rPr>
        <w:t xml:space="preserve">Quelle: </w:t>
      </w:r>
      <w:r>
        <w:t>https://mcp.opencaselaw.ch/entscheid/bger_1P.731_2001</w:t>
      </w:r>
    </w:p>
    <w:p>
      <w:r>
        <w:t>FR: TF 1P.731/2001 du 15 avril 2002</w:t>
      </w:r>
    </w:p>
    <w:p>
      <w:r>
        <w:t>IT: TF 1P.731/2001 del 15 aprile 2002</w:t>
      </w:r>
    </w:p>
    <w:p>
      <w:pPr>
        <w:pStyle w:val="Heading2"/>
      </w:pPr>
      <w:r>
        <w:t>Erwägungen</w:t>
      </w:r>
    </w:p>
    <w:p>
      <w:r>
        <w:rPr>
          <w:b/>
        </w:rPr>
        <w:t>E. 1</w:t>
      </w:r>
    </w:p>
    <w:p>
      <w:r>
        <w:t>Das Schreiben vom 14. November 2001 kann als Revisionsgesuch gedeutet werden. Der Gesuchsteller legt jedoch nicht dar, welcher der in Art. 136 ff. OG abschliessend genannten Revisionsgründe gegeben sei. Das Gesuch genügt den Begründungsanforderungen von Art. 140 OG nicht, weshalb darauf nicht eingetreten werden kann.</w:t>
      </w:r>
    </w:p>
    <w:p>
      <w:r>
        <w:t>Die Eingaben des Gesuchstellers vom 6. und 14. November 2001 sind querulatorisch. Weitere Schreiben gleicher Art werden vom Bundesgericht unbeantwortet abgelegt.</w:t>
      </w:r>
    </w:p>
    <w:p>
      <w:r>
        <w:rPr>
          <w:b/>
        </w:rPr>
        <w:t>E. 2</w:t>
      </w:r>
    </w:p>
    <w:p>
      <w:r>
        <w:t>Bei diesem Ausgang des Verfahrens trägt der Gesuchsteller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