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1P.71/2000 vom 7. März 2000</w:t>
      </w:r>
    </w:p>
    <w:p>
      <w:r>
        <w:t>Bundesgericht, 2000-03-07, FR</w:t>
      </w:r>
    </w:p>
    <w:p>
      <w:r>
        <w:rPr>
          <w:b/>
        </w:rPr>
        <w:t xml:space="preserve">Quelle: </w:t>
      </w:r>
      <w:r>
        <w:t>https://mcp.opencaselaw.ch/entscheid/bger_1P.71_2000</w:t>
      </w:r>
    </w:p>
    <w:p>
      <w:r>
        <w:t>FR: TF 1P.71/2000 du 7 mars 2000</w:t>
      </w:r>
    </w:p>
    <w:p>
      <w:r>
        <w:t>IT: TF 1P.71/2000 del 7 marzo 2000</w:t>
      </w:r>
    </w:p>
    <w:p>
      <w:pPr>
        <w:pStyle w:val="Heading2"/>
      </w:pPr>
      <w:r>
        <w:t>Regeste</w:t>
      </w:r>
    </w:p>
    <w:p>
      <w:r>
        <w:t>Procédure pénale</w:t>
      </w:r>
    </w:p>
    <w:p>
      <w:pPr>
        <w:pStyle w:val="Heading2"/>
      </w:pPr>
      <w:r>
        <w:t>Erwägungen</w:t>
      </w:r>
    </w:p>
    <w:p>
      <w:r>
        <w:rPr>
          <w:b/>
        </w:rPr>
        <w:t>E. 1</w:t>
      </w:r>
    </w:p>
    <w:p>
      <w:r>
        <w:t>Le recours est interjeté dans le délai et les formes utiles contre une décision rendue en dernière instance cantonale, le recourant ayant par ailleurs qualité pour agir ( art. 88 OJ ). Le recourant conclut à sa mise en liberté immédiate, éventuellement sous caution. Par exception à la nature essentiellement cassatoire du recours de droit public, cette conclusion est recevable ( ATF 124 I 327 consid. 4 p. 332).</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ch. 1, 2 et 3 CPP /VD). La gravité de l'infraction - et l'importance de la peine encourue - n'est, à elle seule, pas suffisante ( ATF 117 Ia 70 consid. 4a). Préalablement à ces conditions, il doit exister à l'égard de l'intéressé des charges suffisantes ( ATF 116 Ia 144 consid. 3). Cette dernière exigence coïncide avec la règle de l' art. 5 par. 1 let . c CEDH, qui autorise l'arrestation d'une personne s'il y a des raisons plausibles de soupçonner qu'elle a commis une infraction. Les principes de la présomption d'innocence ( art. 32 al. 1 Cst. et 6 par. 2 CEDH), ainsi que le droit au respect de la vie privée ( art. 13 Cst. et 8 CEDH), invoqués par le recourant, n'ont, dans ce contexte, aucune portée propre.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 Le recourant ne conteste pas l'existence de charges suffisantes. Comme le relève l'arrêt attaqué, il a en effet admis une partie des faits qui lui sont reprochés, notamment les dispositions pour mettre sur pied une opération de recyclage d'argent sale. Il conteste en revanche l'existence d'un risque de collusion et de fuite.</w:t>
      </w:r>
    </w:p>
    <w:p>
      <w:r>
        <w:rPr>
          <w:b/>
        </w:rPr>
        <w:t>E. 3</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 a) La cour cantonale a admis le risque de collusion en indiquant les actes d'instruction en cours. Il s'agit des recherches auprès des banques genevoises et vaudoises, des investigations sur les programmes d'investissements à haut rendement, et des renseignements qui devraient parvenir de Saint-Petersbourg (à propos d'un trafic de drogue auquel le recourant pourrait être mêlé), du FBI et de ICC. b) Le recourant conteste point par point ces motifs. Il relève que les banques ont déjà répondu - négativement - à la circulaire du juge d'instruction. Il estime s'être entièrement expliqué au sujet des programmes d'investissements à haut rendement et on ne verrait pas quelles preuves pourraient être détruites ou altérées sur ce point. Les renseignements en attente de Saint-Petersbourg ne concerneraient que B.________. La libération du recourant n'entraverait pas la fourniture des renseignements que le FBI possède déjà, et les enquêteurs vaudois auraient déjà eu accès à la banque de données de ICC. La gravité et l'ampleur des délits ne justifierait pas son maintien en détention dès lors que sur huit personnes arrêtées, six ont déjà été relâchées. Contrairement à ce que retient la cour cantonale, les faits reprochés au recourant seraient identiques à ceux imputés à P.________ et C.________, lesquels se trouvent en liberté provisoire. Après plus de six mois d'enquête, le risque de collusion serait devenu inexistant. c) Ces objections ne suffisent pas à nier tout risque de collusion. La lecture du dossier fait apparaître que les agissements reprochés au recourant sont de nature très diverses (usage de fausses garanties bancaires et escroqueries, actes de recyclage et trafic de stupéfiants), et présentent diverses ramifications internationales qui ont nécessité l'envoi de commissions rogatoires, non seulement aux Etats-Unis et et à Saint-Petersbourg, mais aussi en Italie, en France et à Vienne. On ne saurait à ce stade exclure que le recourant soit mêlé au trafic de drogue reproché à B.________, compte tenu des liens existant entre les deux hommes. Un représentant d'ICC s'est certes déjà rendu en Suisse le 20 janvier 2000, mais d'autres actes constitutifs d'escroqueries pourraient avoir été commis, et ICC devait fournir un rapport écrit plus complet, sur la base des documents recueillis en Suisse. On voit certes mal comment le recourant pourrait influer sur les renseignements que doivent prochainement transmettre les diverses autorités étrangères. Il se pourrait toutefois qu'une fois fournis, ces renseignements permettent d'orienter les recherches dans une direction jusqu'alors inconnue et que le recourant mette sa liberté à profit pour tenter de dissimuler ou d'altérer, à l'avance, les preuves nécessaires. Le recourant relève que sur les huit personnes arrêtées, six ont déjà été relâchées, parmi lesquelles C.________ et P.________; s'agissant du risque de collusion, il ne parvient toutefois pas à démontrer que les besoins de l'enquête seraient identiques dans chaque cas. En l'état de l'enquête, il apparaît que le recourant est, avec B.________, tenu pour l'un des principaux protagonistes, ce qui peut justifier un traitement particulier. Certes, le risque de collusion diminue en principe à mesure que l'enquête progresse; on ne saurait toutefois considérer, comme le fait le recourant, que l'instruction est suffisamment avancée à son sujet pour dénier tout risque de collusion. Le recourant se plaint aussi, sur certains points, de la lenteur de l'instruction. Certaines investigations auraient pu, selon lui, être effectuées depuis longtemps. A la lecture du procès-verbal des opérations, on ne décèle toutefois aucun arrêt notable dans le déroulement de la procédure; l'enquête paraît au contraire être menée sans désemparer. Pour autant qu'il soit pertinent au regard du risque de collusion, le grief doit être écarté. Le risque de collusion ne peut, par conséquent, être nié.</w:t>
      </w:r>
    </w:p>
    <w:p>
      <w:r>
        <w:rPr>
          <w:b/>
        </w:rPr>
        <w:t>E. 4</w:t>
      </w:r>
    </w:p>
    <w:p>
      <w:r>
        <w:t>Il en va de même du risque de fuite. a) Selon la jurisprudence, le risque de fuite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 le caractère de l'intéressé, sa moralité, ses ressources, ses liens avec l'Etat qui le poursuit et ses contacts avec l'étranger ( ATF 117 Ia 69 consid. 4 et les arrêts cités). b) Le recourant soutient qu'il aurait des attaches suffisantes avec la Suisse, compte tenu de sa liaison avec A.________, qu'il a épousée en prison le 2 février 2000, et qui est enceinte de lui. Quels que soient les liens de cette dernière avec la Suisse, le recourant a clairement manifesté son intention d'aller vivre avec elle en Espagne ou en Angleterre. Ces propos, que le recourant tente en vain de relativiser - en évoquant notamment la possibilité d'un engagement professionnel en Suisse -, suffisent à admettre un risque de fuite évident. c) Le recourant reproche à la cour cantonale de ne pas avoir examiné la possibilité d'une libération sous caution. La cour cantonale a toutefois estimé, avec raison, qu'une telle libération était exclue tant que subsiste le risque de collusion. Il eût par ailleurs appartenu au recourant de démontrer que le montant offert, au regard de ses possibilités financières réelles, constituait un obstacle suffisant à sa fuite. Or, sur le vu du train de vie du recourant avant son arrestation et des montants sur lesquels portent les infractions, le recourant n'a pas fourni une telle démonstration.</w:t>
      </w:r>
    </w:p>
    <w:p>
      <w:r>
        <w:rPr>
          <w:b/>
        </w:rPr>
        <w:t>E. 5</w:t>
      </w:r>
    </w:p>
    <w:p>
      <w:r>
        <w:t>Le recourant se plaint enfin de la durée de sa détention. Tel qu'il est motivé, le grief recouvre entièrement l'argumentation relative aux risques de fuite et de collusion, et doit être lui aussi rejeté. Le recourant ne soutient pas, pour le surplus, que l'enquête subirait des retards inadmissibles, ou que la durée de la détention préventive se rapprocherait de celle de la peine concrètement encourue.</w:t>
      </w:r>
    </w:p>
    <w:p>
      <w:r>
        <w:rPr>
          <w:b/>
        </w:rPr>
        <w:t>E. 6</w:t>
      </w:r>
    </w:p>
    <w:p>
      <w:r>
        <w:t>Sur le vu de ce qui précède, la décision attaquée ne viole pas le droit constitutionnel. Le recours de droit public doit par conséquent être rejeté.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