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1P.716/2006 vom 10. November 2006</w:t>
      </w:r>
    </w:p>
    <w:p>
      <w:r>
        <w:t>Bundesgericht, 2006-11-10, FR</w:t>
      </w:r>
    </w:p>
    <w:p>
      <w:r>
        <w:rPr>
          <w:b/>
        </w:rPr>
        <w:t xml:space="preserve">Quelle: </w:t>
      </w:r>
      <w:r>
        <w:t>https://mcp.opencaselaw.ch/entscheid/bger_1P.716_2006</w:t>
      </w:r>
    </w:p>
    <w:p>
      <w:r>
        <w:t>FR: TF 1P.716/2006 du 10 novembre 2006</w:t>
      </w:r>
    </w:p>
    <w:p>
      <w:r>
        <w:t>IT: TF 1P.716/2006 del 10 novembre 2006</w:t>
      </w:r>
    </w:p>
    <w:p>
      <w:pPr>
        <w:pStyle w:val="Heading2"/>
      </w:pPr>
      <w:r>
        <w:t>Regeste</w:t>
      </w:r>
    </w:p>
    <w:p>
      <w:r>
        <w:t>détention préventive | Procédure pénale</w:t>
      </w:r>
    </w:p>
    <w:p>
      <w:pPr>
        <w:pStyle w:val="Heading2"/>
      </w:pPr>
      <w:r>
        <w:t>Erwägungen</w:t>
      </w:r>
    </w:p>
    <w:p>
      <w:r>
        <w:rPr>
          <w:b/>
        </w:rPr>
        <w:t>E. 1</w:t>
      </w:r>
    </w:p>
    <w:p>
      <w:r>
        <w:t>Le recours de droit public est formé en temps utile contre un arrêt rendu en dernière instance cantonale (art. 86 al. 1 et 89 al. 1 OJ). La recourante, personnellement touchée par l'arrêt attaqué qui autorise la prolongation pour deux mois de sa détention préventive, a qualité pour recourir selon l' art. 88 OJ . Par exception à la nature cassatoire du recours de droit public, les conclusions tendant à la mise en liberté immédiate sont recevables ( ATF 124 I 327 consid. 4b/aa p. 333).</w:t>
      </w:r>
    </w:p>
    <w:p>
      <w:r>
        <w:rPr>
          <w:b/>
        </w:rPr>
        <w:t>E. 2</w:t>
      </w:r>
    </w:p>
    <w:p>
      <w:r>
        <w:t>Dans un grief de nature formelle, qu'il convient d'examiner en premier, la recourante reproche à la Chambre d'accusation d'avoir considéré qu'elle s'en rapportait à justice sur le principe de la détention, alors qu'elle s'y était clairement opposée. La cour cantonale aurait ainsi méconnu les objections soulevées par la recourante. Par ailleurs, l'ordonnance attaquée renvoie à la demande de prolongation du Juge d'instruction, laquelle est très succincte et renvoie elle-même aux ordonnances rendues les 8 août et 21 septembre 2006; cela ne constituerait pas une motivation suffisante.</w:t>
      </w:r>
    </w:p>
    <w:p>
      <w:r>
        <w:rPr>
          <w:b/>
        </w:rPr>
        <w:t>E. 2.1</w:t>
      </w:r>
    </w:p>
    <w:p>
      <w:r>
        <w:t>La mention selon laquelle la recourante ne se serait pas opposée à la détention dans son principe peut résulter d'une simple erreur de plume, sans doute due au fait que le coïnculpé B.________ s'en était effectivement rapporté à justice sur ce point. Une telle erreur ne prête pas à conséquence, pour autant que les considérants de l'ordonnance attaquée répondent de manière satisfaisante aux objections soulevées par la recourante.</w:t>
      </w:r>
    </w:p>
    <w:p>
      <w:r>
        <w:rPr>
          <w:b/>
        </w:rPr>
        <w:t>E. 2.2</w:t>
      </w:r>
    </w:p>
    <w:p>
      <w:r>
        <w:t>Le droit d'être entendu garanti par l' art. 29 al. 2 Cst. confère à toute personne le droit d'exiger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En règle générale, il suffit que l'autorité mentionne au moins brièvement les motifs qui l'ont guidée, sans qu'elle soit tenue de répondre à tous les arguments présentés ( ATF 112 Ia 107 consid. 2b p. 109; voir aussi ATF 126 I 97 consid. 2b p. 102, 125 II 369 consid. 2c p. 372, 124 II 146 consid. 2a p. 149). Cela concerne notamment les décisions consécutives à une demande de prolongation de la détention, sur laquelle l'autorité doit statuer à bref délai; il est d'ailleurs admis que celle-ci peut se borner à adhérer aux motifs de la demande ou à ceux d'une décision antérieure ( ATF 123 I 31 consid. 2 p. 33).</w:t>
      </w:r>
    </w:p>
    <w:p>
      <w:r>
        <w:rPr>
          <w:b/>
        </w:rPr>
        <w:t>E. 2.3</w:t>
      </w:r>
    </w:p>
    <w:p>
      <w:r>
        <w:t>L'ordonnance attaquée est motivée par renvoi, aux motifs du Juge d'instruction d'une part et à l'ordonnance du 21 septembre 2006 d'autre part. La demande de prolongation se réfère elle-même à l'ordonnance du 21 septembre 2006. Si cette dernière se réfère également à des décisions précédentes, elle contient néanmoins des indications quant aux raisons du maintien en détention: elle mentionne les déclarations selon lesquelles la recourante n'avait pas qu'un rôle subalterne et serait intervenue activement; elle relève le risque de collusion en rapport avec les nouvelles plaintes déposées et le risque de disparition du butin, étant encore mentionné le manque d'explications complètes quant à l'utilisation des fonds détournés. Ces indications sont suffisantes pour comprendre les raisons de la prolongation de détention. Elles répondent, au moins dans une certaine mesure, aux objections soulevées par la recourante, et permettent en tout cas à cette dernière de recourir en connaissance de cause. Cela étant, la Chambre d'accusation pouvait retenir que les considérations émises deux semaines auparavant dans le même cadre avaient conservé leur pertinence. Les exigences minimales de motivation sont par conséquent satisfaites.</w:t>
      </w:r>
    </w:p>
    <w:p>
      <w:r>
        <w:rPr>
          <w:b/>
        </w:rPr>
        <w:t>E. 3</w:t>
      </w:r>
    </w:p>
    <w:p>
      <w:r>
        <w:t>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4</w:t>
      </w:r>
    </w:p>
    <w:p>
      <w:r>
        <w:t>Même si elle relativise l'importance des faits qui lui sont reprochés, en prétendant n'avoir eu qu'un rôle secondaire par rapport à B.________, la recourante ne conteste pas l'existence de charges suffisantes. Elle estime toutefois que sa détention ne serait plus justifiée par les besoins de l'instruction, compte tenu de l'ordonnance de mise en liberté rendue le 3 août 2006. Le risque de collusion retenu par la Chambre d'accusation serait totalement abstrait. Les locaux de la société ont été évacués et l'intégralité des dossiers clients a été saisie. La recourante se dit dans l'impossibilité de donner des explications sur l'acheminement des fonds, ceux-ci ayant été perdus par dans une opération aux Comores. La recourante n'aurait pas activement participé à cette opération.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128 I 149 consid. 2.1 p. 151, 123 I 31 consid. 3c p. 36, 117 Ia 257 consid. 4c p. 261). L'autorité doit ainsi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w:t>
      </w:r>
    </w:p>
    <w:p>
      <w:r>
        <w:rPr>
          <w:b/>
        </w:rPr>
        <w:t>E. 4.2</w:t>
      </w:r>
    </w:p>
    <w:p>
      <w:r>
        <w:t>Dans son ordonnance du 21 septembre 2006, la Chambre d'accusation a relevé que, selon certains témoignages, le rôle de la recourante ne se serait pas limité à celui d'un exécutant; la recourante serait apparue comme l'associée de , intervenant activement, en particulier dans les relations avec un établissement bancaire. En dépit des nombreux témoignages faisant apparaître la recourante comme dépourvue de pouvoir de décision, il demeure de sérieuses incertitudes sur la question, déterminante pour la recourante, de son degré de participation dans les détournements. L'ordonnance du 21 septembre 2006 relève aussi que toutes les personnes concernées n'ont pas pu être entendues de manière contradictoire. Ainsi, même si tous les documents relatifs aux clients ont été saisis dans les bureaux de la société, il subsiste un risque que la recourante ne profite d'une mise en liberté pour tenter d'influencer les témoins afin qu'ils présentent une version des faits qui lui soit plus favorable. Il existe également un risque de collusion en ce qui concerne les fonds détournés: la recourante, qui prétend ne rien savoir à ce sujet, est tout de même l'amie intime de B.________ avec qui elle travaillait; ce dernier affirme que l'ensemble des fonds détournés aurait été perdu dans un investissement aux Comores, mais cela reste à vérifier. Il existe donc également un risque que la recourante ne tente, en cas de libération, d'entraver la recherche des sommes détournées. Le risque de collusion apparaît suffisamment concret.</w:t>
      </w:r>
    </w:p>
    <w:p>
      <w:r>
        <w:rPr>
          <w:b/>
        </w:rPr>
        <w:t>E. 4.3</w:t>
      </w:r>
    </w:p>
    <w:p>
      <w:r>
        <w:t>Toutefois, si la détention préventive devait se prolonger encore, il appartiendra à la Chambre d'accusation de se montrer plus explicite à propos du risque de collusion, et de tenir compte au plus près des résultats de l'instruction. La simple référence à de nouvelles plaintes, sans précisions quant à leur incidence sur la situation de la recourante, et le renvoi à des précédentes décisions qui peuvent avoir perdu une partie de leur actualité, pourraient ne plus suffire. Dans sa décision du 8 août 2006, la Chambre d'accusation a aussi estimé que le risque de fuite ne pouvait être écarté, compte tenu de la nationalité française de la recourante. Le Juge d'instruction retient lui aussi ce risque dans son ordonnance du 15 septembre 2006. En revanche, dans son ordonnance du 21 septembre 2006, la cour cantonale a renoncé à examiner cette question. Compte tenu de la motivation par renvois successifs, il n'est pas possible de savoir si le risque de fuite est encore d'actualité ou s'il a été définitivement écarté. En cas de nouvelle prolongation, il serait souhaitable que l'autorité se montre plus explicite à ce propos également.</w:t>
      </w:r>
    </w:p>
    <w:p>
      <w:r>
        <w:rPr>
          <w:b/>
        </w:rPr>
        <w:t>E. 5</w:t>
      </w:r>
    </w:p>
    <w:p>
      <w:r>
        <w:t>Sur le vu de ce qui précède, le recours de droit public doit être rejeté. Un émolument judiciaire est mis à la charge de la recourante,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