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1P.713/2000 vom 13. Februar 2001</w:t>
      </w:r>
    </w:p>
    <w:p>
      <w:r>
        <w:t>Bundesgericht, 2001-02-13, DE</w:t>
      </w:r>
    </w:p>
    <w:p>
      <w:r>
        <w:rPr>
          <w:b/>
        </w:rPr>
        <w:t xml:space="preserve">Quelle: </w:t>
      </w:r>
      <w:r>
        <w:t>https://mcp.opencaselaw.ch/entscheid/bger_1P.713_2000</w:t>
      </w:r>
    </w:p>
    <w:p>
      <w:r>
        <w:t>FR: TF 1P.713/2000 du 13 février 2001</w:t>
      </w:r>
    </w:p>
    <w:p>
      <w:r>
        <w:t>IT: TF 1P.713/2000 del 13 febbraio 2001</w:t>
      </w:r>
    </w:p>
    <w:p>
      <w:pPr>
        <w:pStyle w:val="Heading2"/>
      </w:pPr>
      <w:r>
        <w:t>Regeste</w:t>
      </w:r>
    </w:p>
    <w:p>
      <w:r>
        <w:t>Strafprozess</w:t>
      </w:r>
    </w:p>
    <w:p>
      <w:pPr>
        <w:pStyle w:val="Heading2"/>
      </w:pPr>
      <w:r>
        <w:t>Erwägungen</w:t>
      </w:r>
    </w:p>
    <w:p>
      <w:r>
        <w:rPr>
          <w:b/>
        </w:rPr>
        <w:t>E. 1</w:t>
      </w:r>
    </w:p>
    <w:p>
      <w:r>
        <w:t>Beim angefochtenen Urteil des Kassationsgerichts handelt es sich um einen letztinstanzlichen kantonalen Endentscheid ( Art. 86 Abs. 1 OG ). Der Beschwerdeführer ist durch das Nichteintreten auf seine kantonale Nichtigkeitsbeschwerde und die Ablehnung seines Schadenersatz- und Genugtuungsanspruchs in seinen rechtlich geschützten Interessen berührt ( Art. 88 OG ) und er macht die Verletzung von verfassungsmässigen Rechten geltend ( Art. 84 Abs. 1 lit. b OG ). Da diese und auch die übrigen Sachurteilsvoraussetzungen erfüllt sind, ist auf die Beschwerde einzutreten.</w:t>
      </w:r>
    </w:p>
    <w:p>
      <w:r>
        <w:rPr>
          <w:b/>
        </w:rPr>
        <w:t>E. 2</w:t>
      </w:r>
    </w:p>
    <w:p>
      <w:r>
        <w:t>Das Kassationsgericht trat im angefochtenen Entscheid im Wesentlichen auf die Nichtigkeitsbeschwerde nicht ein. Es erwog dazu unter anderem, im obergerichtlichen Beschluss "geht es zur Hauptsache um die Frage, ob dem Beschwerdeführer die 7-tägige Untersuchungshaft im Strafbefehl vom 22. September 1998 betreffend ANAG zu Recht angerechnet wurde (und es somit an der Voraussetzung für Schadenersatz und Genugtuung "ungerechtfertigt erlittene Haft" fehlt), obwohl die Untersuchungshaft grundsätzlich aufgrund des Verdachts der Zuwiderhandlung gegen das Betäubungsmittelgesetz angeordnet wurde". Dabei handle es sich um eine Frage des materiellen Bundesrechts, welche es nicht prüfen könne. Sie könne auch nicht "als Vorfrage eidgenössischen Rechts ( § 430 Abs. 2 StPO ) betrachtet und auf diesem Weg dem Bundesgericht entzogen" werden; vielmehr stelle die Anwendung von Art. 69 StGB die Hauptfrage des vorliegenden Verfahrens dar, welche es nicht prüfen könne (angefochtener Entscheid S. 11). Das Gleiche gelte für die Rüge des Beschwerdeführers, er habe durch die ungerechtfertigte Festnahme und die Untersuchungshaft einen materiellen Schaden von Fr. 1'261.-- und immaterielle Unbill erlitten, die auch durch ihre Anrechnung an die bedingte Freiheitsstrafe nicht aufgewogen worden seien. Diese Ausführungen richteten sich "einzig gegen die Tatsache, dass durch die Anrechnung der Haft auf den bedingt aufgeschobenen Strafvollzug die materielle Unbill nicht ausgeglichen werden könne". Dieses Vorbringen würde jedoch genauso zutreffen, wenn er wegen der Betäubungsmitteldelikte verurteilt worden wäre und die Untersuchungshaft auf diese Strafe angerechnet worden wäre; auch dabei gehe es daher im Endeffekt einzig um die Frage der Anrechnung der Untersuchungshaft, mithin um die Anwendung von Art. 69 StGB . Der Beschwerdeführer rügt dies sinngemäss als formelle Rechtsverweigerung. Seiner in diesem Zusammenhang ebenfalls erhobenen Rüge, das Kassationsgericht sei wegen einer willkürlichen Auslegung von § 430b StPO auf seine Rüge nicht eingetreten, kommt keine selbständige Bedeutung zu, da das Bundesgericht frei prüft, ob eine formelle Rechtsverweigerung vorliegt ( BGE 125 I 166 E. 3a ; 121 I 177 E. 2b/aa; 120 II 425 E. 2a; 119 Ia 4 E. 2a). 3.-Der Auffassung des Kassationsgerichts, die im Verfahren zu entscheidende Hauptfrage sei, ob die im Strafbefehl vorgenommene Anrechnung der wegen Verdachts auf Drogenhandel erlittenen Untersuchungshaft auf die Strafe wegen eines ANAG-Deliktes zu Recht oder zu Unrecht erfolgte, kann nicht gefolgt werden. a) Die Hauptfrage, die sich im kantonalen Verfahren stellt, ist, ob dem Beschwerdeführer wegen der erlittenen 7-tägigen Untersuchungshaft nach der Einstellung des Strafverfahrens wegen des Verdachts auf Betäubungsmittelhandel gemäss § 43 StPO -ZH Schadenersatz- und Genugtuungsansprüche zustehen. Sie ist ohne weiteres eine solche des kantonalen Rechts. Zu dieser kantonalrechtlichen Hauptfrage gehört auch die Frage, ob ein Schaden oder eine immaterielle Unbill und damit ein Entschädigungsanspruch zu verneinen sei, wenn die Untersuchungshaft auf eine ausgefällte Freiheitsstrafe angerechnet worden ist. Hängt deren Beantwortung davon ab, ob die Untersuchungshaft zu Recht oder zu Unrecht angerechnet worden ist, ist diese letztere Frage eine Vorfrage, die sich nach Art. 69 StGB richtet, und damit des Bundesrechts. Soweit das Kassationsgericht die Frage, ob die Untersuchungshaft im Strafbefehl zu Recht oder zu Unrecht angerechnet worden sei, als für den Bestand der geltend gemachten Ansprüche entscheidend betrachtete, hätte es diese Vorfrage des eidgenössischen Rechts, von deren Beantwortung der Entscheid über eine Frage des kantonalen Rechts abhing, nach dem klaren Wortlaut von § 430b Abs. 2 Satz 2 StPO prüfen können und müssen. Weder aus den vom Kassationsgericht angeführten, prozessual anders gelegenen Entscheiden des Bundesgerichts ( BGE 104 IV 105 , unveröffentlichter Entscheid 1P.498/1991 vom 8. November 1991, E. 3d) noch aus der angeführten Literaturstelle (Erhard Schweri, Eidgenössische Nichtigkeitsbeschwerde in Strafsachen, Bern 1993, S. 54) lässt sich ableiten, dass der Beschwerdeführer den Entscheid des Obergerichts mit Nichtigkeitsbeschwerde beim Kassationshof des Bundesgerichts hätte anfechten können mit der Begründung, die von ihm geltend gemachten kantonalrechtlichen Schadenersatz- und Genugtuungsansprüche würden zur Hauptsache vom Bundesstrafrecht beherrscht bzw. von diesem präjudiziert. b) Eine Frage des kantonalen Rechts stellt auch die Frage dar, ob der für die Beurteilung der Schadenersatz- und Genugtuungsansprüche nach § 43 StPO zuständige Richter an den rechtskräftigen Entscheid des Strafrichters über die Anrechnung der Untersuchungshaft gebunden ist oder nicht, die das Obergericht bejahte und bei der die Auffassung des Kassationsgerichts nicht klar ist. Ist dies der Fall, hat der im Staatshaftungsverfahren zuständige Richter nicht zu prüfen, ob die Untersuchungshaft zu Recht oder zu Unrecht angerechnet wurde, und stellt sich diese Vorfrage des Bundesrechts daher nicht. Auch insoweit trat das Kassationsgericht zu Unrecht gestützt auf § 430b StPO auf die kantonale Nichtigkeitsbeschwerde nicht ein. c) Ob die Anrechnung der erstandenen Haft bloss auf eine Strafe, deren Vollzug bedingt aufgeschoben wurde, einen Entschädigungsanspruch nicht entfallen lässt, wie der Beschwerdeführer geltend macht, ist ebenfalls allein eine Frage des kantonalen Staatshaftungsrechts. Es geht darum, ob bei einer solchen Anrechnung ein Schaden oder eine immaterielle Unbill als durch die Anrechnung behoben zu betrachten ist oder nicht. Das Kassationsgericht hat danach eine formelle Rechtsverweigerung begangen, indem es auf die Rüge des Beschwerdeführers, seine Schadenersatz- und Genugtuungsforderung sei durch den Einzelrichter und das Obergericht in Verletzung von materiellen Gesetzesvorschriften im Sinne von § 430 Abs. 1 Ziff. 6 StPO abgewiesen worden, nicht eintrat. Die Rüge ist begründet. 4.-Der Entscheid des Kassationsgerichts krankt zudem an einem inneren Widerspruch. a) Im von ihm auch selber angeführten Entscheid (RB KASSGZ 1996 NR. 145; ausführlicher zitiert im Entscheid des Obergerichts vom 19. August 1999, S. 7 f.), welcher nach seinen eigenen Ausführungen prozessual gleich lag wie der vorliegende, hat das Kassationsgericht ausgeführt, der "Anspruch auf Schadenersatz bzw. Genugtuung für zu Unrecht erstandene Untersuchungshaft kann nicht durch die Anrechnung der Untersuchungshaft auf eine Strafe für andere Delikte, hinsichtlich derer keine Untersuchungshaft angeordnet worden war, abgegolten werden". Daraus ergebe sich, dass es wegen der Anrechnung der Untersuchungshaft an die Freiheitsstrafe und der Ausrichtung einer Entschädigung zu einer "doppelten Gutschrift" zu Gunsten des Angeklagten kommen könne (angefochtener Entscheid S. 16). b) Das Kassationsgericht hätte gestützt auf diese seine Auffassung, eine "doppelte Gutschrift" sei möglich, die Nichtigkeitsbeschwerde gutheissen müssen, da der Beschwerdeführer gerade im Sinne dieser "doppelten Gutschrift" seine Schadenersatz- und Genugtuungsansprüche nach § 43 StPO ungeachtet der bereits erfolgten (fehlerhaften) Anrechnung der Untersuchungshaft geltend machte. Begründung und Ergebnis des angefochtenen Entscheides sind in diesem Punkt offensichtlich unvereinbar. Das Kassationsgericht verfiel in Willkür und beging eine materielle Rechtsverweigerung, indem es die Nichtigkeitsbeschwerde abwies, obwohl es eine "doppelte Gutschrift" als möglich betrachtete und der Einzelrichter sowie das Obergericht eine solche verneint und deswegen die Entschädigungsansprüche des Beschwerdeführers abgelehnt hatten.</w:t>
      </w:r>
    </w:p>
    <w:p>
      <w:r>
        <w:rPr>
          <w:b/>
        </w:rPr>
        <w:t>E. 5</w:t>
      </w:r>
    </w:p>
    <w:p>
      <w:r>
        <w:t>Die Beschwerde ist somit wegen formeller und materieller Rechtsverweigerung gutzuheissen und der angefochtene Entscheid aufzuheben, ohne dass die weiteren Rügen zu prüfen wären. Bei diesem Ausgang des Verfahrens sind keine Kosten zu erheben ( Art. 156 Abs. 2 OG ). Hingegen hat der unterliegende Kanton Zürich dem Beschwerdeführer für das bundesgerichtliche Verfahren eine angemessene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