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1P.710/2000 vom 16. November 2000</w:t>
      </w:r>
    </w:p>
    <w:p>
      <w:r>
        <w:t>Bundesgericht, 2000-11-16, DE</w:t>
      </w:r>
    </w:p>
    <w:p>
      <w:r>
        <w:rPr>
          <w:b/>
        </w:rPr>
        <w:t xml:space="preserve">Quelle: </w:t>
      </w:r>
      <w:r>
        <w:t>https://mcp.opencaselaw.ch/entscheid/bger_1P.710_2000</w:t>
      </w:r>
    </w:p>
    <w:p>
      <w:r>
        <w:t>FR: TF 1P.710/2000 du 16 novembre 2000</w:t>
      </w:r>
    </w:p>
    <w:p>
      <w:r>
        <w:t>IT: TF 1P.710/2000 del 16 novembre 2000</w:t>
      </w:r>
    </w:p>
    <w:p>
      <w:pPr>
        <w:pStyle w:val="Heading2"/>
      </w:pPr>
      <w:r>
        <w:t>Regeste</w:t>
      </w:r>
    </w:p>
    <w:p>
      <w:r>
        <w:t>Politische Rechte</w:t>
      </w:r>
    </w:p>
    <w:p>
      <w:pPr>
        <w:pStyle w:val="Heading2"/>
      </w:pPr>
      <w:r>
        <w:t>Erwägungen</w:t>
      </w:r>
    </w:p>
    <w:p>
      <w:r>
        <w:rPr>
          <w:b/>
        </w:rPr>
        <w:t>E. 1</w:t>
      </w:r>
    </w:p>
    <w:p>
      <w:r>
        <w:t>a) Mit der als "Einspruch" bezeichneten Eingabe wird dem Sinne nach eine staatsrechtliche Beschwerde betreffend die politische Stimmberechtigung der Bürger gemäss Art. 85 lit. a OG erhoben. b) Die staatsrechtliche Beschwerde ist nur gegen letztinstanzliche kantonale Entscheide zulässig ( Art. 86 OG ). Mit der vorliegenden Beschwerde werden Mängel der Botschaft des Thurgauer Regierungsrates zur Volksabstimmung vom 26. November 2000 gerügt. Die amtlichen Botschaften gehören zu den Vorbereitungen eines Urnenganges ( BGE 101 Ia 238 ). Nach § 81 Abs. 1 des thurgauischen Gesetzes über das Stimm- und Wahlrecht vom 15. März 1995 (StWG) können Stimmberechtigte wegen Verletzung des Stimm- und Wahlrechtes einschliesslich Rechtsverletzungen bei der Vorbereitung und Durchführung von Abstimmungen oder Wahlen Rekurs erheben. Rekursinstanz ist bei kantonalen Abstimmungen das Departement für Inneres und Volkswirtschaft des Kantons Thurgau (§ 81 Abs. 1 Satz 2 StWG in Verbindung mit § 1 Ziff. 2 der Verordnung des Regierungsrates vom 27. Juni 1995 zum Gesetz über das Stimm- und Wahlrecht). Der Beschwerdeführer kann somit die behaupteten Mängel der erwähnten Botschaft des Regierungsrates mit Rekurs beim Departement für Inneres und Volkswirtschaft vorbringen. Er muss nach Art. 86 OG zunächst dieses kantonale Rechtsmittel ergreifen, bevor er sich mit einer staatsrechtlichen Beschwerde an das Bundesgericht wenden kann. Auf die vorliegende Beschwerde ist daher nicht einzutreten. Der an das Bundesgericht gerichteten Eingabe (S. 2) ist zu entnehmen, dass der Beschwerdeführer offenbar Kopien seines "Einspruchs" an verschiedene Departemente, darunter das Departement für Inneres und Volkswirtschaft, versandt hat. Dies ändert nichts daran, dass das Original des "Einspruchs" vom 11. November 2000 samt Beilagen an das zur Behandlung des Rekurses zuständige Departement für Inneres und Volkswirtschaft zu überweisen ist.</w:t>
      </w:r>
    </w:p>
    <w:p>
      <w:r>
        <w:rPr>
          <w:b/>
        </w:rPr>
        <w:t>E. 2</w:t>
      </w:r>
    </w:p>
    <w:p>
      <w:r>
        <w:t>Nach ständiger Praxis des Bundesgerichts wird bei Stimmrechtsbeschwerden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