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1P.70/2006 vom 15. Juni 2006</w:t>
      </w:r>
    </w:p>
    <w:p>
      <w:r>
        <w:t>Bundesgericht, 2006-06-15, FR</w:t>
      </w:r>
    </w:p>
    <w:p>
      <w:r>
        <w:rPr>
          <w:b/>
        </w:rPr>
        <w:t xml:space="preserve">Quelle: </w:t>
      </w:r>
      <w:r>
        <w:t>https://mcp.opencaselaw.ch/entscheid/bger_1P.70_2006</w:t>
      </w:r>
    </w:p>
    <w:p>
      <w:r>
        <w:t>FR: TF 1P.70/2006 du 15 juin 2006</w:t>
      </w:r>
    </w:p>
    <w:p>
      <w:r>
        <w:t>IT: TF 1P.70/2006 del 15 giugno 2006</w:t>
      </w:r>
    </w:p>
    <w:p>
      <w:pPr>
        <w:pStyle w:val="Heading2"/>
      </w:pPr>
      <w:r>
        <w:t>Regeste</w:t>
      </w:r>
    </w:p>
    <w:p>
      <w:r>
        <w:t>délimitation de tronçons de routes cantonales en traversée de localité | Construction des routes et circulation routière</w:t>
      </w:r>
    </w:p>
    <w:p>
      <w:pPr>
        <w:pStyle w:val="Heading2"/>
      </w:pPr>
      <w:r>
        <w:t>Erwägungen</w:t>
      </w:r>
    </w:p>
    <w:p>
      <w:r>
        <w:rPr>
          <w:b/>
        </w:rPr>
        <w:t>E. 1</w:t>
      </w:r>
    </w:p>
    <w:p>
      <w:r>
        <w:t>Le Tribunal fédéral examine d'office et avec une pleine cognition la recevabilité des recours qui lui sont soumis ( ATF 130 I 312 consid. 1 p. 317; 130 II 249 consid. 2 p. 250, 302 consid. 3 p. 303/304, 306 consid. 1.1 p. 308 et les arrêts cités).</w:t>
      </w:r>
    </w:p>
    <w:p>
      <w:r>
        <w:rPr>
          <w:b/>
        </w:rPr>
        <w:t>E. 2</w:t>
      </w:r>
    </w:p>
    <w:p>
      <w:r>
        <w:t>Les recourantes agissent par la voie du recours de droit public, en se prévalant de l'autonomie que leur reconnaît le droit cantonal dans la gestion du domaine public et du patrimoine communal. Les décisions attaquées auraient pour effet d'étendre le domaine public communal, avec les obligations d'aménagement et d'entretien qui en découlent.</w:t>
      </w:r>
    </w:p>
    <w:p>
      <w:r>
        <w:rPr>
          <w:b/>
        </w:rPr>
        <w:t>E. 2.1</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 art. 84 al. 1 lettre a OJ ). De tels droits ne sont reconnus en principe qu'aux citoyens, à l'exclusion des collectivités publiques qui n'en sont pas titulaires. Cette règle s'applique aux cantons, aux communes et à leurs autorités, qui agissent en tant que détentrices de la puissance publique. La jurisprudence considère toutefois qu'il y a lieu de faire deux exceptions pour les communes et autres corporations de droit public. La première est admise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lorsque, par la voie du droit public, elles se plaignent d'une violation de leur autonomie ( art. 50 Cst. ) ou d'une atteinte à leur existence ou à l'intégrité de leur territoire garanties par le droit cantonal. Les collectivités concernées peuvent aussi se prévaloir, à titre accessoire, de la violation de droits constitutionnels lorsque ces moyens sont en relation étroite avec la violation de leur autonomie ( ATF 131 I 91 consid. 1 p. 93; 129 I 313 consid. 4.1 p. 318; 125 I 173 consid. 1b p. 175; 121 I 218 consid. 2a et les arrêts cités).</w:t>
      </w:r>
    </w:p>
    <w:p>
      <w:r>
        <w:rPr>
          <w:b/>
        </w:rPr>
        <w:t>E. 2.2</w:t>
      </w:r>
    </w:p>
    <w:p>
      <w:r>
        <w:t>Dans la mesure où elles dénoncent une violation de leur autonomie communale, les recourantes ont qualité pour agir par la voie du recours de droit public. Déterminer si, dans un domaine juridique particulier, les communes jouissent effectivement d'une autonomie, n'est pas une question de recevabilité, mais de fond ( ATF 128 I 3 consid. 1c p. 7; 124 I 223 consid. 1b p. 226 et les références citées).</w:t>
      </w:r>
    </w:p>
    <w:p>
      <w:r>
        <w:rPr>
          <w:b/>
        </w:rPr>
        <w:t>E. 2.3</w:t>
      </w:r>
    </w:p>
    <w:p>
      <w:r>
        <w:t>L' art. 50 al. 1 Cst. dispose que l'autonomie communale est garantie dans les limites fixées par le droit cantonal. Selon la jurisprudence, une commune bénéficie de la protection de son autonomie dans les domaines que le droit cantonal ne règle pas de manière exhaustive, en lui laissant une liberté de décision relativement importante. L'existence et l'étendue de l'autonomie communale dans une matière concrète sont déterminées essentiellement par la constitution et la législation cantonales ( ATF 128 I 3 consid. 2a p. 8; 124 I 223 consid. 2b p. 226-227 et les arrêts cités). Lorsqu'elle est reconnue autonome dans un domaine spécifique, une commune peut se plaindre, par la voie du recours de droit public, d'un excès ou d'un abus du pouvoir d'appréciation ou d'une fausse application par l'autorité cantonale des normes de droit cantonal et communal régissant le domaine en cause. L'autonomie communale est également violée lorsque le canton empiète à tort dans un domaine protégé de celle-là par l'adoption, notamment, de normes générales et abstraites qui limitent ou suppriment une compétence communale ou qui règlent une question relevant de cette autonomie (cf. ATF 122 I 279 consid. 8c p. 291; 120 Ia 203 consid. 2a p. 204; 119 Ia 214 consid. 3a p. 218 et les arrêts cités). Les communes peuvent en outre jouir d'une autonomie protégée dans l'application du droit cantonal, si celui-ci leur laisse une liberté de décision relativement importante. Il faut toutefois que l'exécution, en première instance, des dispositions cantonales leur soit confiée et que la nature du domaine à régler se prête à une réglementation propre de la part des différentes communes ( ATF 119 Ia 214 consid. 3b p. 219).</w:t>
      </w:r>
    </w:p>
    <w:p>
      <w:r>
        <w:rPr>
          <w:b/>
        </w:rPr>
        <w:t>E. 2.4</w:t>
      </w:r>
    </w:p>
    <w:p>
      <w:r>
        <w:t>Selon l' art. 138 al. 1 Cst./VD , les communes assument, outre les tâches propres qu'elles accomplissent volontairement, celles que la loi ou la Constitution leur attribuent. Selon l' art. 139 Cst./VD , les communes vaudoises disposent d'autonomie en particulier dans la gestion du domaine public et du patrimoine communal (let. a) et en matière d'aménagement local du territoire (let. d). Cette disposition constitutionnelle a notamment pour but d'éviter au Tribunal fédéral de rechercher dans l'ensemble du droit cantonal si les communes disposent, dans un certain domaine, de pouvoirs de décision importants (Haldy, L'organisation territoriale et les communes, in: La Constitution vaudoise du 14 avril 2003, Berne 2004, p. 291-310, 295).</w:t>
      </w:r>
    </w:p>
    <w:p>
      <w:r>
        <w:rPr>
          <w:b/>
        </w:rPr>
        <w:t>E. 2.5</w:t>
      </w:r>
    </w:p>
    <w:p>
      <w:r>
        <w:t>Les décisions du département rendues les 15 juin, 10 août et 14 septembre 2005 portent uniquement sur la délimitation des tronçons de routes en traversée de localité. Les compétences générales des communes, s'agissant de la gestion du domaine public et de l'aménagement local du territoire, n'enlèvent rien au fait que, s'agissant spécifiquement de l'acte préalable de délimitation des tronçons de routes cantonales en traversée de localité, la compétence appartient exclusivement au département cantonal selon l'art. 3 al. 4 LRou. Les communes auront certes la gestion de ces tronçons supplémentaires (art. 3 al. 4 LRou), mais, selon le droit cantonal, elles n'ont aucun droit de déterminer librement, ou de participer à l'acte de détermination de ces tronçons, lequel appartient à l'autorité cantonale. Dans ce cadre, les communes ne disposent que d'un droit d'être entendues, qui a pu être exercé en l'occurrence. L'augmentation des charges d'entretien, qui découle de l'accroissement des tronçons concernés, aura certes une incidence sur les finances des communes, mais cela ne leur permet pas pour autant de se prévaloir de leur autonomie (cf. arrêt 2P.203/2004 du 1er décembre 2005). En effet, celle-ci ne peut être invoquée en matière de subventions ou de charges financières décidées par le canton ( ATF 113 Ia 336 consid. 1b p. 339). Il n'en va différemment que lorsque la commune se plaint d'une violation de son droit à l'existence, soit lorsque la mesure litigieuse aurait pour effet de déséquilibrer complètement ses finances, au point de compromettre son existence même (ATF 115 Ia consid. 5d/aa p. 54; cf. aussi ATF 131 I 91 consid. 1 p. 93 concernant le droit à l'existence). Les recourantes n'allèguent toutefois rien de tel.</w:t>
      </w:r>
    </w:p>
    <w:p>
      <w:r>
        <w:rPr>
          <w:b/>
        </w:rPr>
        <w:t>E. 2.6</w:t>
      </w:r>
    </w:p>
    <w:p>
      <w:r>
        <w:t>Le grief de violation de l' art. 50 Cst. doit par conséquent être rejeté, et les moyens tirés du droit d'être entendu, de l'interdiction de l'arbitraire et du défaut de base légale n'ont pas à être examinés.</w:t>
      </w:r>
    </w:p>
    <w:p>
      <w:r>
        <w:rPr>
          <w:b/>
        </w:rPr>
        <w:t>E. 3</w:t>
      </w:r>
    </w:p>
    <w:p>
      <w:r>
        <w:t>Sur le vu de ce qui précède, le recours de droit public est rejeté. Conformément à l' art. 156 al. 2 OJ , il n'est pas perçu d'émolument judiciaire. Selon l' art. 159 al. 2 OJ , il n'est pas alloué de dépens aux autorités qui obtiennent gain de cause, que celles-ci agissent par leurs propres services ou - comme l'a fait le département en l'occurrence - par un avocat indépendant.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