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1P.708/2004 vom 16. Februar 2005</w:t>
      </w:r>
    </w:p>
    <w:p>
      <w:r>
        <w:t>Bundesgericht, 2005-02-16, FR</w:t>
      </w:r>
    </w:p>
    <w:p>
      <w:r>
        <w:rPr>
          <w:b/>
        </w:rPr>
        <w:t xml:space="preserve">Quelle: </w:t>
      </w:r>
      <w:r>
        <w:t>https://mcp.opencaselaw.ch/entscheid/bger_1P.708_2004</w:t>
      </w:r>
    </w:p>
    <w:p>
      <w:r>
        <w:t>FR: TF 1P.708/2004 du 16 février 2005</w:t>
      </w:r>
    </w:p>
    <w:p>
      <w:r>
        <w:t>IT: TF 1P.708/2004 del 16 febbraio 2005</w:t>
      </w:r>
    </w:p>
    <w:p>
      <w:pPr>
        <w:pStyle w:val="Heading2"/>
      </w:pPr>
      <w:r>
        <w:t>Regeste</w:t>
      </w:r>
    </w:p>
    <w:p>
      <w:r>
        <w:t>récusation d'expert | Questions de compétences, garantie du juge du domicile et du ...</w:t>
      </w:r>
    </w:p>
    <w:p>
      <w:pPr>
        <w:pStyle w:val="Heading2"/>
      </w:pPr>
      <w:r>
        <w:t>Erwägungen</w:t>
      </w:r>
    </w:p>
    <w:p>
      <w:r>
        <w:rPr>
          <w:b/>
        </w:rPr>
        <w:t>E. 1</w:t>
      </w:r>
    </w:p>
    <w:p>
      <w:r>
        <w:t>Interjeté contre une décision incidente sur une demande de récusation d'expert ( art. 87 al. 1 OJ ; ATF 126 III 249 consid. 3c p. 253; 125 II 541 consid. 4a p. 544 et les arrêts cités), prise en dernière instance cantonale ( art. 258 al. 3 LPC gen), qui ne peut être attaquée que par la voie du recours de droit public et qui touche la recourante dans ses intérêts juridiquement protégés, le présent recours est recevable au regard des art. 84 ss OJ (cf. ATF 97 I 1 consid. 1b p. 3/4).</w:t>
      </w:r>
    </w:p>
    <w:p>
      <w:r>
        <w:rPr>
          <w:b/>
        </w:rPr>
        <w:t>E. 2</w:t>
      </w:r>
    </w:p>
    <w:p>
      <w:r>
        <w:t>La recourante tient la décision sur récusation pour arbitraire. Elle conteste "l'appréciation des faits" de l'autorité cantonale à propos de l'indépendance des experts membres du Groupement des experts FMB. En réalité, par ce grief, elle remet en cause l'appréciation de cette autorité concernant la réalisation prétendue des conditions de récusation. Ce moyen n'a pas de portée propre. Il se confond en effet avec celui par lequel la recourante invoque la violation des garanties du droit constitutionnel (art. 29 al. 1, 30 al. 1 Cst.) et du droit conventionnel ( art. 6 par. 1 CEDH ) en matière d'impartialité des experts judiciaires. Au surplus, la recourante ne dénonce pas une application arbitraire du droit cantonal pertinent en matière de récusation. Selon la jurisprudence relative aux art. 29 al. 1 Cst. , 30 al. 1 Cst. et 6 par. 1 CEDH,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127 I 196 consid. 2b p. 198; 126 I 68 consid. 3a p. 73, 168 consid. 2a p. 169; 125 II 541 consid. 4a p. 544 et les arrêts cités). La recourante invoque comme circonstance donnant l'apparence d'une prévention, l'appartenance de l'expert judiciaire C.________ et de l'expert privé D.________ au Groupement d'experts FMB et, en outre, l'usage de termes identiques et les conclusions semblables figurant dans les deux rapports établis respectivement par chacun d'eux. En l'occurrence, en tout cas sur la base des allégations de la recourante, on ne voit pas quelle conséquence pourrait avoir sur l'indépendance de l'expert judiciaire cette appartenance au même groupement que l'expert privé, d'autant qu'il est notoire que les experts judiciaires sont souvent regroupés en association sans que cela crée de lien de dépendance ou de subordination entre eux. Quant à l'usage de termes identiques dans leurs rapports respectifs, il s'agit d'un grief dépourvu de sens. En effet, ces deux expertises, brèves et rédigées opportunément en style télégraphique, sont toutes deux formulées par des spécialistes de la même branche, lesquels sont ainsi susceptibles de recourir à un même vocabulaire spécifique, et portent sur le même sujet, à savoir la bien-facture de la prestation professionnelle exécutée par la recourante pour l'intimée. Il est dès lors attendu que les termes utilisés soient identiques. Quant au caractère similaire des conclusions des deux experts, on ne peut en tirer aucune conclusion relative à une prétendue prévention de l'expert judiciaire dans la mesure où il n'est pas exclu que deux spécialistes puissent faire les mêmes constats. Les griefs de la recourante sont dès lors manifestement mal fondés.</w:t>
      </w:r>
    </w:p>
    <w:p>
      <w:r>
        <w:rPr>
          <w:b/>
        </w:rPr>
        <w:t>E. 3</w:t>
      </w:r>
    </w:p>
    <w:p>
      <w:r>
        <w:t>Il s'ensuit que le recours de droit public, relevant au demeurant de la témérité, doit être rejeté. A.________ S.A., qui succombe, doit payer l'émolument judiciaire ( art. 153, 153a et 156 al. 1 OJ ). L'intimée B.________, qui obtient gain de cause et qui est représentée par un avocat, a droit à une indemnité à titre de dépens à la charge de la recourante; l'intimé C.________, qui a agi sans l'assistance d'un avocat, n'a pas droit à une telle indemnité ( art. 159 al. 1 et 2 OJ ). Par ces motifs, vu l'art. 36aOJ,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