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1P.671/2003 vom 4. Februar 2004</w:t>
      </w:r>
    </w:p>
    <w:p>
      <w:r>
        <w:t>Bundesgericht, 2004-02-04, DE</w:t>
      </w:r>
    </w:p>
    <w:p>
      <w:r>
        <w:rPr>
          <w:b/>
        </w:rPr>
        <w:t xml:space="preserve">Quelle: </w:t>
      </w:r>
      <w:r>
        <w:t>https://mcp.opencaselaw.ch/entscheid/bger_1P.671_2003</w:t>
      </w:r>
    </w:p>
    <w:p>
      <w:r>
        <w:t>FR: TF 1P.671/2003 du 4 février 2004</w:t>
      </w:r>
    </w:p>
    <w:p>
      <w:r>
        <w:t>IT: TF 1P.671/2003 del 4 febbraio 2004</w:t>
      </w:r>
    </w:p>
    <w:p>
      <w:pPr>
        <w:pStyle w:val="Heading2"/>
      </w:pPr>
      <w:r>
        <w:t>Erwägungen</w:t>
      </w:r>
    </w:p>
    <w:p>
      <w:r>
        <w:rPr>
          <w:b/>
        </w:rPr>
        <w:t>E. 1</w:t>
      </w:r>
    </w:p>
    <w:p>
      <w:r>
        <w:t>Auf die Beschwerde ist aus den gleichen Gründen einzutreten wie im ersten in dieser Sache ergangenen Urteil vom 16. Mai 2003.</w:t>
      </w:r>
    </w:p>
    <w:p>
      <w:r>
        <w:rPr>
          <w:b/>
        </w:rPr>
        <w:t>E. 2.1</w:t>
      </w:r>
    </w:p>
    <w:p>
      <w:r>
        <w:t>Wie schon in seiner Beschwerde an die Strafkammer macht der Beschwerdeführer geltend, der Untersuchungsrichter habe sein rechtliches Gehör verletzt, indem er ihn nicht an der Besichtigung des Hanfdepots habe teilnehmen lassen. Nach dem klaren Wortlaut von Art. 42 lit. c der Strafprozessordnung des Kantons Freiburg vom 14. November 1996 (StPO) habe er das Recht, an allen "von einem Richter persönlich durchgeführten Beweiserhebungen beizuwohnen". Die Strafkammer habe dazu unter Verletzung ihrer Begründungspflicht ausgeführt, es sei "offensichtlich", dass diese Besichtigung keine Beweiserhebung im Sinne von Art. 42 StPO darstelle, weshalb der Untersuchungsrichter nicht verpflichtet gewesen sei, ihn dazu einzuladen. Dies sei indessen keineswegs "offensichtlich", sondern falsch. Der Untersuchungsrichter habe nämlich entgegen dem ihm von der Strafkammer erteilten Auftrag beim Erlass des Beschlagnahmebefehls am 17. Juni 2003 nicht geprüft, ob die Voraussetzungen für eine Beschlagnahme des Hanfs gegeben seien und habe dies mit dessen Besichtigung vom 25. Juli 2003 nachgeholt. Diese stelle somit einen richterlichen Augenschein bzw. eine Untersuchung von Beweisgegenständen im Sinne der Art. 74 ff. StPO dar, zu der er zur Wahrung seines rechtlichen Gehörs hätte beigezogen werden müssen. Die Strafkammer habe daher Art. 29 Abs. 2 BV verletzt, indem sie dieses Vorgehen des Untersuchungsrichters geschützt habe.</w:t>
      </w:r>
    </w:p>
    <w:p>
      <w:r>
        <w:rPr>
          <w:b/>
        </w:rPr>
        <w:t>E. 2.2</w:t>
      </w:r>
    </w:p>
    <w:p>
      <w:r>
        <w:t>Der Untersuchungsrichter erwog in der Verfügung vom 17. Juni 2003, er habe nach Art. 122 StPO die Beschlagnahme von Gegenständen anzuordnen, die als Beweisstücke dienen könnten oder deren Einziehung in Frage komme. Er kam zum Schluss, diese Voraussetzungen seien bei den 106 bereits am 9. Oktober 2002 sichergestellten Hanfkisten erfüllt, und beschlagnahmte sie. Nachdem der Beschwerdeführer in seiner Beschwerde an die Strafkammer ernsthafte Zweifel an der Lagerung des Hanfs vorgebracht und die Vermutung geäussert hatte, die Ware sei bereits verdorben, prüfte der Untersuchungsrichter deren Zustand und erstattete darüber nach einer Besichtigung den streitigen Bericht. Das Kantonsgericht stellte im angefochtenen Urteil darauf ab. Zur Begründung führte es einerseits an, es bestehe keine Gefahr, dass der Hanf mit der Beschlagnahme dem Beschwerdeführer endgültig und nicht bloss vorübergehend entzogen werde. Anderseits hielt es fest, die Rüge, der Hanf sei zerstört worden, erweise sich somit als unbegründet, so dass dessen weiteren auf dieser Annahme aufbauenden Vorbringen ins Leere stiessen. Mit diesen hatte der Beschwerdeführer geltend gemacht, der Hanf sei heute verdorben, weshalb er weder als Beweismittel dienen könne noch für eine Einziehung an den Staat in Betracht falle, womit die Voraussetzungen für die Beschlagnahme nach Art. 122 StPO nicht mehr erfüllt seien; daran wird auch in der staatsrechtlichen Beschwerde festgehalten. Der Bericht wurde demnach nicht nur als Beweis für ordnungsgemässe Lagerung verwendet, sondern auch, um den Einwand gegen die Beschlagnahme zu verwerfen und diese zu bestätigen; insoweit fand also durchaus eine Beweisabnahme im Strafverfahren statt, die zudem auch noch zur Begründung der Einziehung wird Verwendung finden können. Deshalb hat das Kantonsgericht Art. 42 lit. c StPO in willkürlicher Weise nicht auf die untersuchungsrichterliche Prüfung des beschlagnahmten Hanfs angewendet und das rechtliche Gehör des Beschwerdeführers verletzt.</w:t>
      </w:r>
    </w:p>
    <w:p>
      <w:r>
        <w:rPr>
          <w:b/>
        </w:rPr>
        <w:t>E. 3</w:t>
      </w:r>
    </w:p>
    <w:p>
      <w:r>
        <w:t>Unter Berufung auf BGE 129 I 103 bringt der Beschwerdeführer vor, der Beschlagnahme von Hanf komme ein definitiver, nicht ein bloss vorläufiger Charakter zu, weshalb die in Art. 6 Ziff. 1 EMRK für ein faires Verfahren vorgesehenen Garantien zur Anwendung gelangen müssten; sie seien nicht erfüllt. Seiner Ansicht nach müsste unter diesen Umständen auch die Rechtsweggarantie von Art. 32 Abs. 3 BV (Überprüfung durch ein höheres Gericht) zur Anwendung gelangen.</w:t>
      </w:r>
    </w:p>
    <w:p>
      <w:r>
        <w:t>In BGE 129 I 103 war die Beschlagnahme von lebenden Hanfpflanzen und Hanfstecklingen zu beurteilen, die nur mit einer aufwändigen Pflege erhalten werden können. Die Stecklinge können zudem offenbar nur während sechs Wochen als solche verwendet werden und verlieren jeden kommerziellen Wert, wenn sie älter sind. Das Bundesgericht kam daher zum Schluss, die Beschlagnahme der Pflanzen verhindere deren Verwendung zum vorgesehenen Zweck endgültig, was rechtfertige, das Rechtsmittelverfahren darüber als Zivilrechtsstreitigkeit im Sinne von Art. 6 Ziff. 1 EMRK aufzufassen und die darin enthaltenen Garantien für anwendbar zu erklären.</w:t>
      </w:r>
    </w:p>
    <w:p>
      <w:r>
        <w:t>Vorliegend geht es indessen nicht um die Beschlagnahme lebender Hanfpflanzen, sondern um geernteten Hanf. Der Beschwerdeführer behauptet nicht, die Ware würde auch bei sachgerechter Lagerung bis zum Abschluss des Strafverfahrens - wie z.B. die Hanfstecklinge - allein durch Zeitablauf verderben. Unter diesen Umständen lässt sich nicht sagen, mit ihrer strafprozessualen Beschlagnahme sei faktisch bereits endgültig über ihr Schicksal entschieden worden; es handelt sich mithin um eine "normale" strafprozessuale Massnahme vorläufigen Charakters, für deren Anordnung die Garantien von Art. 6 Ziff. 1 EMRK sowie von Art. 32 Abs. 3 BV nicht gelten. Die Rüge ist unbegründet.</w:t>
      </w:r>
    </w:p>
    <w:p>
      <w:r>
        <w:rPr>
          <w:b/>
        </w:rPr>
        <w:t>E. 4</w:t>
      </w:r>
    </w:p>
    <w:p>
      <w:r>
        <w:t>Die Beschwerde ist somit teilweise gutzuheissen und der angefochtene Entscheid aufzuheben. Damit erübrigt sich, die weiteren Rügen zu behandeln, wonach der angefochtene Entscheid gegen die Eigentumsgarantie von Art. 26 BV , die Wirtschaftsfreiheit von Art. 27 BV sowie das Verhältnismässigkeitsprinzip von Art. 36 Abs. 3 BV verstosse.</w:t>
      </w:r>
    </w:p>
    <w:p>
      <w:r>
        <w:t>Bei diesem Ausgang des Verfahrens sind keine Kosten zu erheben ( Art. 156 OG ), und der Kanton Freiburg hat den Beschwerdeführer für das bundesgerichtliche Verfahren angemessen zu entschädigen ( Art.159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