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1P.664/1999 vom 1. September 2000</w:t>
      </w:r>
    </w:p>
    <w:p>
      <w:r>
        <w:t>Bundesgericht, 2000-09-01, FR</w:t>
      </w:r>
    </w:p>
    <w:p>
      <w:r>
        <w:rPr>
          <w:b/>
        </w:rPr>
        <w:t xml:space="preserve">Quelle: </w:t>
      </w:r>
      <w:r>
        <w:t>https://mcp.opencaselaw.ch/entscheid/bger_1P.664_1999</w:t>
      </w:r>
    </w:p>
    <w:p>
      <w:r>
        <w:t>FR: TF 1P.664/1999 du 1 septembre 2000</w:t>
      </w:r>
    </w:p>
    <w:p>
      <w:r>
        <w:t>IT: TF 1P.664/1999 del 1 settembre 2000</w:t>
      </w:r>
    </w:p>
    <w:p>
      <w:pPr>
        <w:pStyle w:val="Heading2"/>
      </w:pPr>
      <w:r>
        <w:t>Regeste</w:t>
      </w:r>
    </w:p>
    <w:p>
      <w:r>
        <w:t>Droit fondamental</w:t>
      </w:r>
    </w:p>
    <w:p>
      <w:pPr>
        <w:pStyle w:val="Heading2"/>
      </w:pPr>
      <w:r>
        <w:t>Erwägungen</w:t>
      </w:r>
    </w:p>
    <w:p>
      <w:r>
        <w:rPr>
          <w:b/>
        </w:rPr>
        <w:t>E. 1</w:t>
      </w:r>
    </w:p>
    <w:p>
      <w:r>
        <w:t>Par transformation, on entend tous les travaux qui ont pour objet: a) de modifier l'architecture, le volume, l'implantation, la destination, la distribution intérieure de tout ou partie d'une maison d'habitation; b) la création de nouveaux logements, notamment dans les combles; c) la création d'installations nouvelles d'une certaine im- portance, telles que chauffage, distribution d'eau chau- de, ascenseur, salles de bains et cuisines; d) la rénovation, c'est-à-dire la remise en état, même par- tielle, de tout ou partie d'une maison d'habitation, en améliorant le confort existant sans modifier la distri- bution des logements, sous réserve de l'alinéa 2 ci- dessous.</w:t>
      </w:r>
    </w:p>
    <w:p>
      <w:r>
        <w:rPr>
          <w:b/>
        </w:rPr>
        <w:t>E. 2</w:t>
      </w:r>
    </w:p>
    <w:p>
      <w:r>
        <w:t>Par travaux d'entretien, non assujettis à la présente loi,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w:t>
      </w:r>
    </w:p>
    <w:p>
      <w:r>
        <w:rPr>
          <w:b/>
        </w:rPr>
        <w:t>E. 4</w:t>
      </w:r>
    </w:p>
    <w:p>
      <w:r>
        <w:t>Il n'y a pas de changement d'affectation lorsque des lo- caux à usage commercial, administratif, artisanal ou indus- triel ont été temporairement affectés à l'habitation et qu'ils retrouvent leur destination commerciale, administra- tive, artisanale ou industrielle antérieure, pour autant qu'ils n'aient jamais été précédemment affectés au loge- ment. Chapitre V   Fixation des loyers et des prix en cas de démolition ou de transformation Art. 11 Mode de calcul 1 Prenant en considération l'ensemble des travaux à effec- tuer, le département fixe le montant des loyers ou des prix de vente maximaux, en tenant compte: a) du rendement équitable des capitaux investis pour les travaux, [...]; b) de l'amortissement calculé en fonction de la durée de viedes installations, [...]; c) des frais d'entretien [...]; d) des autres facteurs de hausse et de baisse à prendre en considération selon les articles 269 et suivants du code des obligations. 2 Lorsque les logements répondent aux besoins prépondérants de la population quant à leur genre, leur typologie, leur qualité, leur prix de revient, le nombre de pièces ou leur surface, le loyer après transformation doit répondre aux besoins prépondérants de la population. 3 Si le loyer avant transformation ou rénovation dépasse le niveau des loyers répondant aux besoins prépondérants de la population, il est maintenu par le département au même ni- veau lorsqu'il apparaît qu'il permet économiquement au pro- priétaire de supporter le coût des travaux sans majoration de loyer. Chapitre VI Encouragement à la rénovation Art. 15 Buts et moyens -..]</w:t>
      </w:r>
    </w:p>
    <w:p>
      <w:r>
        <w:rPr>
          <w:b/>
        </w:rPr>
        <w:t>E. 6</w:t>
      </w:r>
    </w:p>
    <w:p>
      <w:r>
        <w:t>L'art. 11 al. 3 LDTR est également contesté, tant par la CGI que par Nicolas Giorgini, qui y voient une viola- tion du droit fédéral, de la garantie de la propriété, de la liberté économique et de l'égalité de traitement. Cette dis- position permet au département de maintenir les loyers si leur niveau, avant transformation ou rénovation, dépasse le niveau des loyers répondant aux besoins prépondérants de la population, lorsque le propriétaire peut supporter le coût des travaux sans majoration de loyer. Un tel plafonnement serait en contradiction manifeste avec les règles du droit privé fédéral sur la fixation des loyers, car il interdi- rait, dans les cas visés, toute répercussion des travaux sur le montant des loyers, et impliquerait un contrôle incident de l'admissibilité des loyers. Portant sur les loyers dépas- sant le niveau de ceux qui répondent aux besoins prépondé- rants de la population, le contrôle étatique ne serait pas justifié par l'intérêt public lié aux objectifs de politique sociale, et violerait le principe de la proportionnalité. Les termes utilisés par la loi seraient trop imprécis. Selon la CGI, il y aurait aussi violation du principe d'égalité de traitement, car seuls les locataires occupant des logements bon marché verraient les travaux de transformation se réper- cuter sur leur loyer, à l'inverse des locataires occupant des logements de luxe, qui se verraient protégés contre une telle augmentation. Selon Nicolas Giorgini, la disposition litigieuse serait dictée par des considérations de politique économique, et partant inadmissible. a) Le Grand Conseil explique que le but de cette dispo- sition est d'empêcher un "changement d'affectation qualita- tif", lorsque les loyers déjà perçus par le propriétaire sont à ce point élevés qu'ils permettent au bailleur de sup- porter les coûts de la transformation sans opérer une nou- velle hausse. L'art. 11 al. 3 LDTR ne viserait que les cas d'abus, et n'irait pas au-delà du droit fédéral, qui tient aussi pour abusifs les loyers procurant un rendement exces- sif ( art. 269 CO ). b) Le but de la LDTR est la préservation de l'habitat et des conditions de vie existants ainsi que le caractère actuel de cet habitat, en apportant notamment des restric- tions aux transformations et au changement d'affectation des maisons d'habitation. Les transformations ou rénovations, au sens de l'art. 3 de la loi, ne sont ainsi autorisées, selon l'art. 9 LDTR, qu'en présence d'un intérêt public ou géné- ral, compte tenu notamment des besoins prépondérants de la population. La loi ne répond ainsi à l'intérêt public que dans la mesure où elle vise à maintenir l'affectation des logements qui répondent, par leur loyer, leur prix et leur conception, aux besoins prépondérants de la population. Les restrictions à la propriété qu'elle institue doivent être propres à atteindre ce but. A cet égard, s'il se justifie d'empêcher que des logements à loyer modéré soient transfor- més en appartements de luxe, l'intérêt public ne commande pas, en revanche, de limiter la transformation et la rénova- tion de logements de luxe préexistants ( ATF 116 Ia 401 con- sid. 11b/bb). c) A première lecture, l'art. 11 al. 3 LDTR semble avoir pour effet le blocage des loyers d'appartements ne correspondant pas aux besoins prépondérants de la popula- tion, soit en particulier les logements de luxe. Dans ce cas, la disposition attaquée ne reposerait pas sur un inté- rêt public suffisant. Comme le relève toutefois l'autorité intimée, cette catégorie de logements est soustraite, par l'art. 10 al. 2 let. b LDTR, au contrôle des loyers, ainsi que les logements dont les loyers dépassent d'au moins deux fois et demie les besoins prépondérants de la population. L'application de l'art. 11 al. 3 LDTR serait ainsi limitée aux cas des logements qui, sans être des logements de luxe, sont loués à un prix qui apparaît, avant les travaux, comme abusivement élevé et qui correspond déjà à ce qui serait ad- missible après transformation. Cette interprétation est en accord avec le texte légal. Elle correspond d'ailleurs aux travaux préparatoires (Mémorial du Grand Conseil 1999, p. 1087-1088). Ainsi comprise de façon restrictive, la dis- position attaquée est susceptible d'une interprétation con- forme à la Constitution. Elle ne va pas au-delà de la pro- tection contre les loyers procurant un rendement abusif et répond à un objectif de politique sociale et non, comme le prétend Nicolas Giorgini, de politique économique. Par ail- leurs, la réserve selon laquelle le blocage des loyers doit être économiquement supportable permettra à l'autorité de respecter le principe de la proportionnalité lors de l'ap- plication de cette disposition. Selon la CGI, la loi permettrait d'augmenter les loyers les plus bas, alors que ceux qui dépassent les loyers répon- dant aux besoins ne seraient pas touchés. Il en résulterait une inégalité de traitement. Par son effet de blocage, la norme attaquée tend à rapprocher du montant admissible des loyers qui ne l'étaient pas auparavant; elle ne saurait par ailleurs s'opposer à des augmentations justifiées, tant du point de vue du droit civil que des autres dispositions de la LDTR. Sous l'angle du but poursuivi par la norme, la si- tuation n'est guère comparable entre le propriétaire qui dé- sire, après travaux, adapter ses loyers auparavant justi- fiés, et celui dont on peut considérer que le coût des tra- vaux était déjà compris dans les loyers précédents. Il n'y a donc pas non plus inégalité de traitement.</w:t>
      </w:r>
    </w:p>
    <w:p>
      <w:r>
        <w:rPr>
          <w:b/>
        </w:rPr>
        <w:t>E. 7</w:t>
      </w:r>
    </w:p>
    <w:p>
      <w:r>
        <w:t>Le nouvel art. 15 al. 6 LDTR permet au département, en cas de pénurie dans une catégorie d'appartements, d'or- donner l'affectation en logements des locaux à usage commer- cial, administratif, artisanal ou industriel vides depuis plus de 24 mois, qui ont été précédemment affectés au moins une fois au logement, pour autant qu'il n'en résulte pas des frais disproportionnés pour le bailleur. La CGI tient cette disposition pour contraire au droit fédéral, soit essentiel- lement la liberté contractuelle; elle ne reposerait pas sur un intérêt public suffisant, serait trop vague et imprécise en particulier quant à l'expression "dans une catégorie d'appartements", et de surcroît disproportionnée. Elle por- terait atteinte, pour les mêmes raisons, à la garantie de la propriété, et méconnaîtrait les spécificités des locaux com- merciaux et les nécessités liées au développement de l'éco- nomie, qui imposeraient de disposer d'un parc suffisant de locaux commerciaux. La CGI évoque la détente du marché du logement que connaîtrait le canton de Genève depuis plu- sieurs années. Aucune règle de procédure n'aurait été en- visagée, notamment pour sauvegarder le droit d'être entendu du propriétaire concerné, contrairement à ce que prévoit, par exemple, l'art. 29 LDTR; la mesure contestée n'est par ailleurs assortie d'aucune limite dans le temps. a) Dans sa réponse, le Grand Conseil rappelle que le Tribunal fédéral, dans un arrêt du 17 novembre 1993 (ATF 119 Ia 348), a jugé conforme à la Constitution une série de dis- positions de l'ancienne LDTR (les art. 9A ss, actuellement les art. 26 à 38 LDTR) prévoyant l'expropriation temporaire de l'usage des appartements locatifs laissés abusivement vi- des. Le nouvel art. 15 al. 6 LDTR procéderait du même inté- rêt public, soit la lutte contre la pénurie de logements, ainsi que le maintien d'un climat social serein, afin de prévenir les occupations illicites de locaux. b) La norme critiquée poursuit un but d'intérêt public évident, soit essentiellement la lutte contre la pénurie de logements. L'affectation forcée tend à éviter que des locaux susceptibles d'être habités ne soient délibérément laissés vides et sans entretien alors qu'ils pourraient correspondre à une catégorie d'appartements locatifs où sévit la pénurie. Comme l'a relevé le Tribunal fédéral dans son arrêt précité du 17 novembre 1993, il s'agit, comme pour les art. 26 ss LDTR, d'un instrument supplémentaire de lutte contre la pénurie de logements; à l'instar des autres mesures déjà instituées dans ce but par la LDTR, elle répond à un intérêt public suffisamment important pour justifier des restric- tions au droit de propriété, à la liberté économique et à l'application de certaines règles de droit civil fédéral ( ATF 116 Ia 401 consid. 9 p. 414/415, 113 Ia 126 consid. 7a p. 133, 111 Ia 23 consid. 3a p. 26). Contrairement à ce que craint la recourante, l'affectation forcée ne peut concerner que les locaux correspondant aux logements d'une catégorie où sévit la pénurie, c'est-à-dire d'un nombre de pièces identique à celui des locaux commerciaux en question. Ces locaux doivent au surplus déjà avoir été utilisés à des fins d'habitation, et donc pouvoir être reconvertis sans frais excessifs. Cela exclut tant les locaux qui ont toujours été à usage commercial, que ceux qui ont été transformés de telle manière que leur réaffectation en logements n'est pas envisageable sans frais excessifs. La CGI évoque le droit de laisser des locaux délibé- rément vides, en vue notamment d'une démolition ou d'une transformation ultérieure. La norme contestée tient toute- fois compte des intérêts économiques du propriétaire, puis- qu'elle exige que la reconversion des locaux se fasse sans frais excessifs pour lui. Comme l'explique le Grand Conseil, l'affectation forcée ne pourrait être ordonnée qu'en cas d'inoccupation abusive, ce qui comprend les cas d'occupation fictive ou de loyer exagérément élevé (art. 27 LDTR). En re- vanche, lorsque le propriétaire désire réellement démolir ou transformer son immeuble, la pesée des intérêts à laquelle devra se livrer l'autorité d'application, en vertu de l'art. 15 al. 5 in fine LDTR, pourrait s'opposer à une affectation forcée. Le délai d'inoccupation, de deux ans, l'exigence d'une affectation à l'habitation et la prise en compte des intérêts du bailleur paraissent propres à assurer une in- terprétation et une application de la norme conformes à la Constitution. La recourante se plaint aussi en vain d'une violation de la liberté contractuelle: l'affectation forcée ne con- traint pas le propriétaire à conclure un bail avec une per- sonne déterminée: elle ne fait que changer l'affectation des locaux, le propriétaire conservant le choix du locataire, ainsi que le montant du loyer. Ce n'est que s'il persiste à laisser ses locaux inoccupés que le propriétaire peut être contraint, en vertu des art. 26 ss LDTR, de laisser à l'Etat l'usage temporaire de ceux-ci, en vue de leur location, pro- cédure que le Tribunal fédéral a déjà jugée conforme à la Constitution. c) La CGI fait aussi état de la détente que connaîtrait ces dernières années le marché locatif dans le canton de Ge- nève, phénomène contesté par le Grand Conseil. La norme at- taquée n'en constitue pas moins un outil efficace pour lut- ter contre la pénurie de logements, aux moments où celle-ci se fait sentir dans une catégorie donnée d'appartements. Ou- tre qu'elle figure dans une loi formulée, ce qui permet de tenir compte des intentions du législateur en vue de son interprétation, la disposition litigieuse se distingue de celle qui a fait l'objet de l' ATF 112 Ia 382 (consid. 5b p. 388), car elle contient des précisions suffisantes et pertinentes quant aux conditions de l'intervention étatique. En outre, la mesure critiquée ne consiste pas dans une loca- tion forcée, mais en un changement d'affectation qui laisse au propriétaire le choix de son locataire et du montant du loyer; même si le rendement est sans doute inférieur à celui qui pourrait être retiré d'une utilisation commerciale des locaux, le propriétaire reste assuré d'un rendement convena- ble, ce qui permet de dénier à la mesure critiquée tout ca- ractère expropriatoire. d) La CGI reproche enfin à la norme attaquée de ne pas prévoir de règles de procédure, assurant en particulier au propriétaire le respect de son droit d'être entendu. Au cas où le propriétaire ne serait pas préalablement entendu, son droit d'être entendu est toutefois garanti par la possibili- té d'un recours, contre les décisions du département, auprès de la Commission de recours instituée par la loi sur les constructions et installations diverses (art. 45 LDTR), puis auprès du Tribunal administratif (art. 47 LDTR). Au cours de ces procédures, l'intéressé a la faculté de s'exprimer, con- formément à son droit d'être entendu, en faisant valoir par exemple les motifs pour lesquels les locaux demeurent inoc- cupés et les raisons qui s'opposeraient à un changement d'affectation.</w:t>
      </w:r>
    </w:p>
    <w:p>
      <w:r>
        <w:rPr>
          <w:b/>
        </w:rPr>
        <w:t>E. 8</w:t>
      </w:r>
    </w:p>
    <w:p>
      <w:r>
        <w:t>Selon l'art. 25 al. 3 LDTR, dans son ancienne te- neur, les appartements de plus de six pièces (cuisine com- prise) n'entraient pas dans une catégorie où sévit la pénu- rie. Dans sa nouvelle teneur, cette exception passe aux ap- partements de plus de sept pièces. Les mesures d'expropria- tion temporaire (art. 26-38 LDTR) et de contrôle de l'alié- nation des appartements loués (art. 39 LDTR) s'étendent ain- si aux appartements de six pièces et demie et de sept piè- ces. La CGI relève que l' art. 271a al. 1 let . c CO permet au locataire de contester le congé donné par le bailleur dans le but de l'amener à acheter l'appartement loué. Le droit cantonal, destiné lui aussi à lutter contre les congés-ven- tes, ferait ainsi double emploi avec le droit fédéral. Par ailleurs, la protection contre les loyers abusifs des art. 269 ss CO ne s'étend pas aux logements de luxe comprenant six pièces ou plus, cuisine non comprise ( art. 253b CO ), de sorte que le droit cantonal irait sur ce point plus loin que le droit fédéral. On ne verrait pas en quoi consisterait l'intérêt public à cette extension. a) Le Grand Conseil rappelle que la protection contre les congés-ventes et l'expropriation des logements vides s'étendaient déjà, en 1992, aux logements de sept pièces. La limite a été ramenée à six pièces en 1995. La nouvelle disposition ne fait donc que revenir à la limite posée en 1992. b) La recourante ne met pas seulement en cause la limi- te posée à l'art. 25 al. 3 LDTR, mais aussi le système même de protection contre les congés-ventes et du contrôle des loyers, jugé incompatible (ou faisant double emploi) avec le droit fédéral. Le grief n'est donc pas dirigé contre l'art. 25 al. 3 LDTR, mais contre l'ensemble des art. 39 ss et 10 ss LDTR, dispositions sur lesquelles ne porte pas la modifi- cation législative adoptée le 25 mars 1999. Dans cette mesu- re, le grief est irrecevable. Quant à l'extension de la li- mite posée à l'art. 25 al. 3 LDTR, la recourante se contente d'affirmer qu'elle ne reposerait sur aucun intérêt public. Elle perd toutefois de vue que la disposition analogue de l'art. 9A al. 3 LDTR de 1992 a été jugée compatible avec le droit fédéral, en particulier l' art. 253b al. 2 CO . S'agis- sant de l'intérêt public, le Grand Conseil relève que, selon les données recueillies par l'Office cantonal de la statis- tique, la catégorie des logements de sept pièces ou plus (cuisine comprise), très recherchés par les familles avec enfants, est celle qui subit la pénurie la plus prononcée. Cela suffit pour reconnaître que le législateur genevois, dans un domaine qui revêt un caractère éminemment politique, s'est fondé sur un intérêt public suffisant. Le grief doit lui aussi être écarté.</w:t>
      </w:r>
    </w:p>
    <w:p>
      <w:r>
        <w:rPr>
          <w:b/>
        </w:rPr>
        <w:t>E. 9</w:t>
      </w:r>
    </w:p>
    <w:p>
      <w:r>
        <w:t>L'art. 39 al. 3 LDTR fait l'objet de critiques de la part des deux recourants. Cette disposition remplace, pour admettre une vente d'appartement à un locataire, l'ab- sence d'opposition de 60% des locataires restants, par l'ac- ceptation formelle de ceux-ci. En exigeant la preuve formel- le de l'acceptation de 60% des locataires en place, la loi rendrait notablement plus difficile l'aliénation d'un loge- ment, sans que cela ne soit justifié par un intérêt public suffisant, et au mépris de l'intérêt privé de l'acquéreur. Ce nouvel obstacle dissuasif porterait atteinte, selon la CGI, à la garantie de la propriété, à la liberté contrac- tuelle et à l'art. 10 de la constitution genevoise qui ga- rantit le droit au logement. Nicolas Giorgini y voit une violation du principe de la proportionnalité, l'assurance offerte par le bailleur de ne pas contraindre les locataires restants à acheter leur logement ou à le quitter étant une garantie suffisante. Cette condition supplémentaire à la conclusion du contrat de vente violerait en outre le droit civil fédéral. a) Dans son arrêt du 17 novembre 1993, le Tribunal fé- déral a examiné la constitutionnalité de l'art. 9 LDTR. La précédente disposition, jugée admissible ( ATF 113 Ia 126 ), soumettait à autorisation la vente d'un appartement jus- qu'alors loué, appartenant à une catégorie touchée par la pénurie, et prévoyait une pesée des intérêts par l'autorité compétente. L'art. 9 al. 3 LDTR précisait que le désir du locataire en place d'acquérir son appartement n'était présu- mé l'emporter sur l'intérêt public que si les conditions suivantes étaient réunies: 80% des locataires de l'immeuble désiraient acquérir leur appartement ou partir; les loca- taires restants obtenaient la garantie de ne pas être con- traints d'acheter ou de partir. Le Tribunal fédéral a con- sidéré que cette précision se prêtait à une interprétation conforme à la Constitution; le texte ne prévoyait qu'une présomption en faveur du locataire désireux d'acquérir son appartement et n'empêchait pas que, dans d'autres cas, la pesée des intérêts à laquelle l'autorité restait tenue abou- tisse également à l'octroi de l'autorisation (consid. 5 non publié de l' ATF 119 Ia 348 ; cf. aussi ATF 113 Ia 126 ). b) Le Grand Conseil explique à ce propos que l'art. 9 al. 3 LDTR a été assoupli en 1996, le taux des locataires restants étant ramené à 60%, et leur intention d'acquérir étant remplacée par une absence d'opposition. S'il est plus restrictif que la disposition de 1996, le nouvel art. 39 al. 3 LDTR est en revanche plus favorable à l'acquéreur que l'art. 9 al. 3, dans sa version qui a fait l'objet de l'ATF 119 Ia 348. Comme le relève avec raison le Grand Conseil, la disposition contestée ne fait qu'instaurer une présomption et laisse, comme auparavant, la place à une libre pesée des intérêts de la part de l'autorité. L'interprétation conforme effectuée dans l'arrêt précité s'impose, a fortiori, dans le cas d'espèce. Quant aux dispositions de la constitution ge- nevoise invoquées par la CGI, celle-ci n'explique pas, con- formément à l' art. 90 al. 1 let. b OJ , en quoi elles insti- tueraient une protection allant au-delà des garanties cons- titutionnelles fédérales invoquées par ailleurs. Le Tribunal fédéral a d'ailleurs déjà admis la validité du droit gene- vois au regard des règles du droit fédéral encourageant l'accession à la propriété de logements ( ATF 113 Ia 126 consid. 9f p. 144). Nicolas Giorgini invoque en vain les art. 216 ss CO re- latifs à la vente immobilière. La réglementation genevoise fait partie des restrictions à la liberté contractuelle que les cantons peuvent, pour des motifs d'intérêt public, ap- porter en vertu de l' art. 19 al. 2 CO ; elle n'intervient pas dans les rapports directs entre le vendeur et l'acquéreur potentiels, ni ne fixe des conditions de forme supplémentai- res à celles qui sont prévues par le droit fédéral. Elle ré- siste dès lors au grief de violation de ce droit.</w:t>
      </w:r>
    </w:p>
    <w:p>
      <w:r>
        <w:rPr>
          <w:b/>
        </w:rPr>
        <w:t>E. 10</w:t>
      </w:r>
    </w:p>
    <w:p>
      <w:r>
        <w:t>Selon le nouvel art. 42A LDTR, le département peut, en cas de défaut d'entretien mettant en péril une structure ou l'habitabilité d'un immeuble, ordonner l'exécu- tion des travaux nécessaires, le cas échéant les faire exé- cuter aux frais du propriétaire selon la procédure des tra- vaux d'office prévus aux art. 133 ss et 140 de la loi du 14 avril 1988 sur les constructions et les installations diver- ses (LCI). La CGI tient cette disposition pour contraire au droit fédéral: les obligations respectives du bailleur et du locataire en matière d'entretien figurent aux art. 256 et 259 CO , les modalités en étant précisées aux art. 259a à 259i CO; la rénovation et la modification de la chose louée font l'objet des art. 260 et 260a CO . La disposition de la LDTR ferait double emploi avec le droit fédéral, ainsi d'ailleurs qu'avec les art. 120 ss LCI, qui traitent de la sécurité des constructions et des obligations de leur pro- priétaire. Les art. 129, 132, 133 et 140 LCI permettent eux aussi à l'autorité d'intervenir à l'égard des constructions "non conformes à la sécurité ou à la salubrité publique". Ni les défauts de structure, ni ceux affectant l'habitabilité ne mettraient en cause l'intérêt public. La CGI se plaint aussi d'une atteinte à la garantie de la propriété: la norme attaquée ne posséderait pas le degré de précision nécessaire - en particulier quant à la procédure à suivre -, et elle violerait le principe de la proportionnalité puisque les travaux imposés au propriétaire ne pourraient pas être ré- percutés sur les loyers, en cas d'application de l'art. 11 al. 3 LDTR. a) Sur ce point également, les arguments avancés par le Grand Conseil sont convaincants. La loi ne viserait pas tous types de travaux d'entretien, mais seulement les cas excep- tionnels de délabrement et d'insalubrité des bâtiments, met- tant en péril la sécurité et l'hygiène de ses habitants. Cette interprétation, à nouveau restrictive, est compatible avec le texte de la disposition. Ainsi comprise, elle est justifiée par un intérêt public évident, tendant à maintenir le caractère habitable des logements (cf. ATF 119 Ia 348 consid. 4i p. 361-362), en permettant à l'Etat d'intervenir pour éviter une dégradation des immeubles, par ailleurs po- tentiellement dangereuse. b) Contrairement à ce que soutient la recourante, les défauts visés par l'art. 42A LDTR ne se confondent nullement avec ceux qui sont concernés par les art. 256 ss CO . Le droit privé tend à assurer au locataire un état et un entre- tien conformes à l'affectation de la chose louée; les art. 258 ss CO instaurent la garantie contre les défauts, et en fixent les modalités d'exercice. Par défaut, au sens de ces dispositions, il faut entendre l'absence d'une qualité pro- mise ou attendue, rendant la chose louée totalement ou par- tiellement impropre à l'usage pour lequel elle a été louée. Cette notion est relative, puisqu'elle dépend de la conven- tion entre les parties, notamment quant à l'usage des lo- caux, de la nature de la construction ou de la contre-pres- tation du locataire. Les dispositions du droit civil tendent ainsi au respect des termes du contrat et permettent notam- ment au locataire d'exiger, outre la réparation, une réduc- tion du loyer ou d'obtenir la résiliation du contrat, voire, en cas de faute du bailleur, des dommages-intérêts. L'art. 42A LDTR tend pour sa part, indépendamment des conventions existant entre bailleur et locataire, à la sauvegarde d'un intérêt plus général; il permet à l'Etat d'intervenir, dans les cas graves, au bénéfice de tout usager de l'immeuble, et même en cas d'inaction des locataires en place. La disposi- tion, qui vise des buts et met en oeuvre des moyens diffé- rents, ne fait donc nullement double usage avec le droit ci- vil. Même si, comme l'admet l'autorité intimée, la disposi- tion de la LDTR se recoupe avec celles de la LCI consacrées à la sécurité des constructions et installations (art. 120 à 128 LCI), rien n'empêche le législateur cantonal de prévoir une norme spécifiquement applicable aux maisons d'habita- tion; il n'en résulte d'ailleurs aucune atteinte supplémen- taire aux droits constitutionnels des propriétaires. c) La recourante se plaint aussi de ce que le coût des travaux exécutés en vertu de l'art. 42A LDTR ne pourrait être répercuté sur les loyers dans les cas d'application de l'art. 11 al. 3 LDTR. Le grief n'a toutefois pas de portée propre par rapport à ceux qui sont dirigés, séparément, con- tre chacune de ces dispositions. Dans les cas habituels, rien n'empêche que les travaux ordonnés par l'Etat aux frais du propriétaire soient ensuite répercutés sur le montant des loyers, comme l'admet d'ailleurs l'autorité intimée. Quant à l'absence de procédure et de garantie du droit d'être enten- du, que dénonce la recourante, le grief est lui aussi mal fondé puisque l'art. 42A LDTR renvoie, pour la procédure, aux art. 133 ss et 140 LCI. Ces dispositions supposent une notification préalable de la mesure aux intéressés et la fixation d'un délai pour l'exécution, ainsi qu'un ultime dé- lai de cinq jours (art. 132 et 133 al. 1 et 3 LCI), sauf dans les cas de danger imminent (art. 133 al. 1 LCI). L'art. 140 LCI prévoit la notification d'un bordereau de frais, contre lequel il peut être recouru. Si le propriétaire n'est pas préalablement entendu (en particulier dans les cas d'ur- gence), il a en tout cas la faculté de s'exprimer à l'occa- sion des recours prévus aux art. 45 et 47 LDTR et 140 LCI. La procédure apparaît ainsi décrite avec suffisamment de précision, et le grief doit également être écarté.</w:t>
      </w:r>
    </w:p>
    <w:p>
      <w:r>
        <w:rPr>
          <w:b/>
        </w:rPr>
        <w:t>E. 11</w:t>
      </w:r>
    </w:p>
    <w:p>
      <w:r>
        <w:t>La CGI s'en prend enfin à l'art. 43A LDTR, selon lequel les dispositions en matière de fixation de loyer ou de prix restent applicables aux logements reconstruits ou rénovés qui bénéficient déjà de prestations au sens de la loi générale sur le logement et la protection des locatai- res du 4 décembre 1977 (LGL). Selon la recourante, aucun intérêt public ne commanderait l'application des règles de la LDTR aux logements subventionnés, l'art. 1er al. 3 LGL instaurant déjà un contrôle des loyers. L'assimilation, sur ce point, des loyers libres et des loyers déjà contrôlés constituerait une violation du principe d'égalité de trai- tement. a) L'art. 1er al. 3 LGL permet un contrôle des loyers sur tous les logements ou locaux construits avec l'aide de collectivités publiques ou corporations de droit public. Le propriétaire s'engage, en contrepartie de l'aide étatique, à ne pas exiger des habitants de son immeuble des loyers su- périeurs à l'état locatif autorisé. Selon l'art. 42 LGL, l'état locatif ne peut être modifié qu'en raison de la dimi- nution de l'aide de l'Etat et de l'évolution des conditions d'exploitation de l'immeuble, notamment des variations du taux d'intérêt des dettes hypothécaires et du coût des tra- vaux d'entretien et de réparation. b) La LGL poursuit un but voisin de la LDTR. Par la construction de logements d'utilité publique, elle tend à garantir des loyers aussi bas que possible et à améliorer la qualité de l'habitat (art. 1er LGL). Il est dès lors logique d'appliquer au calcul des loyers les règles, plus favorables aux locataires, qui sont fixées par la LDTR en cas de réno- vation ou de reconstruction. L'extension d'application, sur ce point, de la loi aux logements subventionnés répond, con- trairement à ce que soutient la recourante, à un souci d'égalité, car, comme le relève le Grand Conseil, l'appli- cation de la seule LGL peut dans certains cas aboutir à des loyers après travaux supérieurs, pour les logements subven- tionnés, à ce que permettrait la LDTR. Il n'y a donc pas d'inégalité à appliquer la règle la plus favorable aux lo- cataires à l'ensemble des logements, subventionnés ou non. Dans la mesure où il est suffisamment motivé, le grief doit donc, lui aussi, être rejeté.</w:t>
      </w:r>
    </w:p>
    <w:p>
      <w:r>
        <w:rPr>
          <w:b/>
        </w:rPr>
        <w:t>E. 12</w:t>
      </w:r>
    </w:p>
    <w:p>
      <w:r>
        <w:t>Sur le vu de ce qui précède, l'ensemble des nou- velles dispositions de la LDTR se prête à une interprétation conforme à la Constitution et au droit fédéral. Les recours de droit public doivent par conséquent être rejetés, dans la mesure où ils sont recevables. Conformément à l' art. 156 al. 1 OJ, un émolument judiciaire est mis à la charge des recou- rants, qui succombent.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