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1P.663/2003 vom 9. Dezember 2003</w:t>
      </w:r>
    </w:p>
    <w:p>
      <w:r>
        <w:t>Bundesgericht, 2003-12-09, DE</w:t>
      </w:r>
    </w:p>
    <w:p>
      <w:r>
        <w:rPr>
          <w:b/>
        </w:rPr>
        <w:t xml:space="preserve">Quelle: </w:t>
      </w:r>
      <w:r>
        <w:t>https://mcp.opencaselaw.ch/entscheid/bger_1P.663_2003</w:t>
      </w:r>
    </w:p>
    <w:p>
      <w:r>
        <w:t>FR: TF 1P.663/2003 du 9 décembre 2003</w:t>
      </w:r>
    </w:p>
    <w:p>
      <w:r>
        <w:t>IT: TF 1P.663/2003 del 9 dicembre 2003</w:t>
      </w:r>
    </w:p>
    <w:p>
      <w:pPr>
        <w:pStyle w:val="Heading2"/>
      </w:pPr>
      <w:r>
        <w:t>Regeste</w:t>
      </w:r>
    </w:p>
    <w:p>
      <w:r>
        <w:t>Zuständigkeitsfragen, Garantie des Wohnsitzrichters und des v...</w:t>
      </w:r>
    </w:p>
    <w:p>
      <w:pPr>
        <w:pStyle w:val="Heading2"/>
      </w:pPr>
      <w:r>
        <w:t>Erwägungen</w:t>
      </w:r>
    </w:p>
    <w:p>
      <w:r>
        <w:rPr>
          <w:b/>
        </w:rPr>
        <w:t>E. 1</w:t>
      </w:r>
    </w:p>
    <w:p>
      <w:r>
        <w:t>Auf die mit den vorliegenden Beschwerden gestellten Ausstandsbegehren gegen verschiedene Bundesrichter und Gerichtsschreiber ist nicht einzutreten. Es werden keine der gesetzlich vorgesehenen Ausschliessungs- bzw. Ablehnungsgründe vorgebracht ( Art. 22 ff. OG ). Allein im Umstand, dass ein Richter oder ein Gerichtsschreiber in einem früheren Verfahren eine Angelegenheit derselben Person behandelte, kann nach der Rechtsprechung keine Verletzung des Anspruchs auf den verfassungsmässigen Richter erblickt werden ( BGE 119 Ia 221 E. 3 S. 227 mit Hinweis). Entsprechend ist auf das Begehren ohne Durchführung eines Ausstandsverfahrens nicht weiter einzutreten ( BGE 114 Ia 278 ), soweit es nicht ohnehin gegenstandslos ist. Die Sache kann von der I. öffentlichrechtlichen Abteilung behandelt werden ( BGE 105 Ib 301 ).</w:t>
      </w:r>
    </w:p>
    <w:p>
      <w:r>
        <w:rPr>
          <w:b/>
        </w:rPr>
        <w:t>E. 2</w:t>
      </w:r>
    </w:p>
    <w:p>
      <w:r>
        <w:t>Die staatsrechtliche Beschwerde ist von hier nicht vorliegenden Ausnahmen abgesehen grundsätzlich rein kassatorischer Natur, d.h. sie kann nur zur Aufhebung des angefochtenen Entscheids führen ( BGE 129 I 129 E. 1.2.1 mit Hinweisen). Soweit der Beschwerdeführer mehr als die Aufhebung des angefochtenen Entscheids verlangt, kann auf die Beschwerde von vornherein nicht eingetreten werden.</w:t>
      </w:r>
    </w:p>
    <w:p>
      <w:r>
        <w:rPr>
          <w:b/>
        </w:rPr>
        <w:t>E. 3</w:t>
      </w:r>
    </w:p>
    <w:p>
      <w:r>
        <w:t>Nach Art. 90 Ziff. 1 lit. b OG hat die Beschwerde die wesentlichen Tatsachen und eine kurz gefasste Darlegung darüber zu enthalten, welche verfassungsmässigen Rechte bzw. welche Rechtssätze verletzt sind und inwiefern der angefochtene Entscheid nicht nur unrichtig, sondern qualifiziert falsch ist. Das Bundesgericht prüft nur klar und detailliert erhobene Rügen. Auf ungenügend begründete Rügen und rein appellatorische Kritik am angefochtenen Entscheid tritt es nicht ein ( BGE 128 I 81 E. 2 mit Hinweisen). Unbeachtlich sind auch Verweisungen auf frühere Eingaben sowie auf Entscheide von Vorinstanzen; die Begründung muss in der Beschwerdeschrift selbst enthalten sein ( BGE 129 I 113 E. 2.1; 115 Ia 27 E. 4a mit Hinweis). Diesen Anforderungen vermag die Beschwerde nicht zu genügen. Die Vorbringen des Beschwerdeführers erschöpfen sich im Wesentlichen in appellatorischer Kritik am bisherigen Verfahrensablauf vor den kantonalen Instanzen. Er beschränkt sich darauf, die als verletzt gerügten Bestimmungen aufzuzählen, anstelle sich mit dem angefochtenen Entscheid auseinander zu setzen, detaillierte Rügen zu erheben und aufzuzeigen, welche Bestimmungen inwiefern verletzt worden sind. Auf die Beschwerde kann somit nicht eingetreten werden.</w:t>
      </w:r>
    </w:p>
    <w:p>
      <w:r>
        <w:rPr>
          <w:b/>
        </w:rPr>
        <w:t>E. 4</w:t>
      </w:r>
    </w:p>
    <w:p>
      <w:r>
        <w:t>Mit dem vorliegenden Entscheid wird das Gesuch um aufschiebende Wirkung gegenstandslos.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