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1P.663/2000 vom 16. Januar 2001</w:t>
      </w:r>
    </w:p>
    <w:p>
      <w:r>
        <w:t>Bundesgericht, 2001-01-16, FR</w:t>
      </w:r>
    </w:p>
    <w:p>
      <w:r>
        <w:rPr>
          <w:b/>
        </w:rPr>
        <w:t xml:space="preserve">Quelle: </w:t>
      </w:r>
      <w:r>
        <w:t>https://mcp.opencaselaw.ch/entscheid/bger_1P.663_2000</w:t>
      </w:r>
    </w:p>
    <w:p>
      <w:r>
        <w:t>FR: TF 1P.663/2000 du 16 janvier 2001</w:t>
      </w:r>
    </w:p>
    <w:p>
      <w:r>
        <w:t>IT: TF 1P.663/2000 del 16 gennaio 2001</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126 I 207 consid. 1 p. 209; 126 III 485 consid. 1 p. 486 et les arrêts cités). a) En vertu de l'art. 34 al. 1 et 3 de la loi fédérale sur l'aménagement du territoire (LAT; RS 700), seule la voie du recours de droit public est ouverte contre l'octroi d'un permis de construire en zone à bâtir dans la mesure où les recourants font essentiellement valoir des griefs tirés de la violation de règles cantonales de procédure et de police des constructions ainsi que de la violation de leur droit d'être entendus garanti par le droit constitutionnel fédéral (cf. ATF 123 II 88 consid. 1a/cc p. 92 et les arrêts cités). b) En tant que propriétaires voisins du bâtiment litigieux, les recourants sont directement touchés par le projet de l'intimé qui prévoit une surélévation du faîte susceptible de porter atteinte à la qualité de vie des occupants de l'appartement situé dans les combles de leur immeuble. Ils ont donc en principe qualité pour recourir selon l' art. 88 OJ en faisant valoir que les conditions objectives subordonnées à l'octroi d'une dérogation au nombre de niveaux admissibles dans la zone urbaine de l'ancienne ville ne sont pas réunies. Ils ne cherchent toutefois pas à démontrer en quoi les arguments retenus pour conclure à la bonne intégration du bâtiment à l'ensemble bâti et à l'absence d'un préjudice intolérable causé aux voisins ne reposeraient sur aucun motif sérieux et objectif ou seraient d'une autre manière insoutenables. Ce faisant, le grief tiré de l'octroi arbitraire d'une dérogation n'est pas articulé conformément aux exigences de motivation posées par l' art. 90 al. 1 let. b OJ (cf. ATF 125 I 492 consid. 1b p. 495 et les arrêts cités) et est irrecevable. Indépendamment de leur vocation pour agir sur le fond, les recourants ont qualité pour se plaindre de la violation des droits de partie que leur reconnaît la procédure cantonale ou qui découlent directement de dispositions constitutionnelles, telles que l' art. 29 al. 2 Cst. ou l'ancien art. 4 aCst. ( ATF 125 II 86 consid. 3b p. 94). Le recours est donc recevable en tant qu'il porte sur la violation des règles de procédure cantonale et du droit d'être entendu garanti par l' art. 29 al. 2 Cst. c) Pour le surplus, le recours répond aux conditions de recevabilité du recours de droit public de sorte qu'il convient d'entrer en matière sur le fond.</w:t>
      </w:r>
    </w:p>
    <w:p>
      <w:r>
        <w:rPr>
          <w:b/>
        </w:rPr>
        <w:t>E. 2</w:t>
      </w:r>
    </w:p>
    <w:p>
      <w:r>
        <w:t>Les recourants reprochent à la cour cantonale d'avoir violé leur droit d'être entendus garanti à l' art. 29 al. 2 Cst. et diverses règles de la procédure administrative cantonale en prenant en considération, pour le prononcé de son arrêt, des éléments nouveaux contenus dans l'écriture de l'intimé du 20 juillet 2000 et ses annexes, ainsi que dans le dossier du permis de construire délivré par la Municipalité de Nyon le 23 septembre 1985 concernant l'aménagement d'un appartement dans les combles de leur bâtiment, sans leur avoir donné l'occasion de se déterminer à leur sujet. a) En tant que garantie générale de procédure, le droit d'être entendu consacré à l' art. 29 al. 2 Cst. accorde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(cf. pour la jurisprudence rendue en application de l' art. 4 aCst. , ATF 126 I 15 consid. 2a/aa p. 16; 124 I 49 consid. 3a p. 51, 241 consid. 2 p. 242 et les arrêts cités). L'autorité qui verse au dossier de nouvelles pièces dont elle entend se prévaloir dans son jugement est tenue d'en aviser les parties et de leur donner l'occasion de se déterminer à leur sujet ( ATF 124 II 132 consid. 2b p. 137 et les arrêts cités). Il en va de même lorsqu'elle entend retenir une argumentation juridique inédite dont les parties ne pouvaient guère discerner la pertinence en l'espèce ( ATF 126 I 19 consid. 2d/bb p. 24, 97 consid. 2b p. 102/103 et les arrêts cités). De plus, le principe de la bonne foi entre administration et administré, exprimé aujourd'hui aux art. 5 al. 3 et 9 Cst. et déduit auparavant de l' art. 4 aCst. , exige que l'une et l'autre se comportent réciproquement de manière loyale. En particulier, l'administration doit s'abstenir de toute attitude propre à tromper l'administré et elle ne saurait tirer aucun avantage des conséquences d'une incorrection ou insuffisance de sa part ( ATF 124 II 265 consid. 4a p. 269/270 et les arrêts cités; voir également ATF 126 II 97 consid. 4b p. 104/105 et les références citées). b) La procédure administrative cantonale vaudoise est soumise à la maxime d'office ou inquisitoire, le Tribunal administratif établissant d'office les faits et appliquant le droit sans être limité par les moyens des parties (art. 53 LJPA). La maîtrise de la procédure appartient au juge, qui doit en définir l'objet, la diriger et y mettre fin par un jugement (Benoît Bovay, Procédure administrative, Berne 2000, p. 175/176). Le corollaire de la maxime d'office est le respect du droit d'être entendu, notamment pris dans son acception stricte, soit le droit de s'expliquer sur les éléments qui paraissent pertinents, et en particulier sur les pièces et documents destinés à établir des faits servant de fondement à la décision. Sous réserve des dispositions de droit constitutionnel ou conventionnel, la loi de procédure cantonale régit la manière dont le juge doit instruire d'office la cause, en fixant un certain nombre de normes favorisant le déroulement et l'avancement de la procédure et arrêtant les modalités de collaboration des parties, ainsi que leurs prérogatives. Pour garantir un avancement adéquat de l'instruction et pallier le risque de déni de justice formel en raison de retards injustifiés, l'art. 44 LJPA prévoit un seul échange d'écritures, sous réserve de cas exceptionnels, l'arrêt devant être rendu dans l'année qui suit le dépôt du mémoire de recours, sauf si des raisons impératives et dûment motivées rendent nécessaire la prolongation de ce délai d'ordre (art. 57 LJPA). L'art. 48 LJPA réglemente l'administration des preuves ordonnée par le juge instructeur et exécutée en présence de la section du Tribunal administratif chargée de juger l'affaire au fond, le magistrat instructeur pouvant, d'office ou sur requête motivée, fixer des débats, aux termes de l'art. 49 LJPA. En conséquence, aussi longtemps que l'instruction n'est pas close, les parties peuvent faire valoir de nouveaux moyens de fait, ainsi que de nouveaux arguments juridiques (Bovay, op. cit. , p. 426), pour autant que leur droit d'être entendues ait été observé concernant les faits pertinents. c) En l'occurrence, après avoir procédé à l'échange d'écritures prévu à l'art. 44 LJPA, le Tribunal administratif a tenu une audience sur place le 12 janvier 1999, avant d'annoncer, près de huit mois plus tard, la notification probable d'un arrêt dans le courant du mois d'octobre 1999. En lieu et place, le Juge instructeur a relancé l'instruction en demandant à la Municipalité de Nyon de produire les décisions concernant les cas d'application de l'art. 12 al. 4 RPE, ce qui a conduit à un nouvel échange d'écritures. Par la suite, il a encore enjoint l'autorité communale de lui remettre le dossier du permis de construire délivré le 23 septembre 1985 aux recourants, ayant trait à l'aménagement d'un appartement dans les combles de leur immeuble et à la création d'un balcon-baignoire dans la toiture. Le Tribunal administratif a finalement rendu son arrêt le 27 septembre 2000. Pour apprécier le préjudice causé aux voisins par le projet litigieux, il s'est notamment fondé sur le dossier versé à sa demande par la Municipalité de Nyon le 3 août 2000, ainsi que sur les explications fournies à ce sujet par l'intimé dans son courrier du 20 juillet 2000. Vu l'importance de ces éléments sur le sort du litige, il devait mettre en mesure les autres parties à la procédure de se prononcer à leur sujet (cf. ATF 126 I 19 consid. 2d/bb précité). Une application rigoureuse du droit d'être entendu s'imposait d'autant plus en l'espèce que l'instruction a été conduite d'une manière qui s'écarte des règles de procédure fixées par la LJPA, sans qu'aucune situation exceptionnelle n'ait été invoquée. Les recourants ne sauraient au demeurant se voir reprocher de ne pas avoir répondu spontanément à la lettre de l'intimé du 20 juillet 2000 ni d'avoir demandé à consulter le dossier produit par la Municipalité de Nyon en exécution de la requête du Juge instructeur du 2 août 2000, au terme du délai imparti pour ce faire. Dans la mesure où le Tribunal administratif leur avait donné auparavant l'occasion de se déterminer sur les documents recueillis dans le cadre du complément d'instruction portant sur les cas d'application concrets de l'art. 12 al. 4 RPE, ils pouvaient en effet de bonne foi s'attendre à ce qu'un délai leur soit également fixé pour se prononcer sur les nouvelles pièces versées à la procédure, sans qu'il soit nécessaire d'introduire une demande expresse en ce sens. Le fait qu'ils connaissaient le contenu du dossier requis de la Municipalité de Nyon importe enfin peu car l'autorité intimée devait de toute manière leur donner l'occasion de répondre aux explications fournies à ce sujet par l'intimé dès lors qu'elle entendait en tenir compte dans son prononcé. En fondant sa décision sur des documents qu'elle n'avait pas soumis préalablement aux recourants pour qu'ils se déterminent à leur propos, la cour cantonale a donc violé le droit d'être entendu des recourants. L'arrêt attaqué doit être annulé pour ce motif, sans qu'il y ait lieu d'examiner plus avant le grief tiré d'une application arbitraire des règles de procédure cantonale.</w:t>
      </w:r>
    </w:p>
    <w:p>
      <w:r>
        <w:rPr>
          <w:b/>
        </w:rPr>
        <w:t>E. 3</w:t>
      </w:r>
    </w:p>
    <w:p>
      <w:r>
        <w:t>Les considérants qui précèdent conduisent à l'admission du recours, dans la mesure où il est recevable, aux frais de l'intimé qui succombe ( art. 156 al. 1 OJ ), aucun émolument judiciaire ne pouvant être mis à la charge du canton de Vaud en application de l' art. 156 al. 2 OJ . A.________ et le canton de Vaud verseront une indemnité de 750 fr. chacun à titre de dépens, aux recourants, pris solidairement, qui obtiennent gain de cause avec l'assistance d'un homme de loi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