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1P.655/2006 vom 11. Dezember 2006</w:t>
      </w:r>
    </w:p>
    <w:p>
      <w:r>
        <w:t>Bundesgericht, 2006-12-11, DE</w:t>
      </w:r>
    </w:p>
    <w:p>
      <w:r>
        <w:rPr>
          <w:b/>
        </w:rPr>
        <w:t xml:space="preserve">Quelle: </w:t>
      </w:r>
      <w:r>
        <w:t>https://mcp.opencaselaw.ch/entscheid/bger_1P.655_2006</w:t>
      </w:r>
    </w:p>
    <w:p>
      <w:r>
        <w:t>FR: TF 1P.655/2006 du 11 décembre 2006</w:t>
      </w:r>
    </w:p>
    <w:p>
      <w:r>
        <w:t>IT: TF 1P.655/2006 del 11 dicembre 2006</w:t>
      </w:r>
    </w:p>
    <w:p>
      <w:pPr>
        <w:pStyle w:val="Heading2"/>
      </w:pPr>
      <w:r>
        <w:t>Regeste</w:t>
      </w:r>
    </w:p>
    <w:p>
      <w:r>
        <w:t>Ablehnung | Zuständigkeitsfragen, Garantie des Wohnsitzrichters und des v...</w:t>
      </w:r>
    </w:p>
    <w:p>
      <w:pPr>
        <w:pStyle w:val="Heading2"/>
      </w:pPr>
      <w:r>
        <w:t>Erwägungen</w:t>
      </w:r>
    </w:p>
    <w:p>
      <w:r>
        <w:rPr>
          <w:b/>
        </w:rPr>
        <w:t>E. 1.1</w:t>
      </w:r>
    </w:p>
    <w:p>
      <w:r>
        <w:t>Der angefochtene Entscheid ist kantonal letztinstanzlich und stützt sich auf kantonales Recht; es wurden Ausstandsfragen beurteilt. Gegen derartige Zwischenentscheide steht im Bund die staatsrechtliche Beschwerde zur Verfügung ( Art. 84 Abs. 2, Art. 86 Abs. 1 und Art. 87 Abs. 1 OG ). Da auch die übrigen Sachurteilsvoraussetzungen gegeben sind, ist auf die Beschwerde einzutreten.</w:t>
      </w:r>
    </w:p>
    <w:p>
      <w:r>
        <w:rPr>
          <w:b/>
        </w:rPr>
        <w:t>E. 1.2</w:t>
      </w:r>
    </w:p>
    <w:p>
      <w:r>
        <w:t>Der Beschwerdeführer beruft sich auf die Garantie des verfassungsmässigen Richters, wie sie sich aus Art. 30 Abs. 1 BV und Art. 6 Ziff. 1 EMRK ergibt. Ausserdem wird eine Verletzung von § 42 Abs. 1 Ziff. 3 der Strafprozessordnung des Kantons Aargau vom 11. November 1958 (StPO/AG; SAR 251.100) gerügt. Nach dieser Bestimmung kann ein Richter oder Protokollführer abgelehnt werden, wenn andere Tatsachen - als ein besonderes Verhältnis zu einer Partei (Ziff. 1) oder ihrem Rechtsvertreter (Ziff. 2) - vorliegen, die in dem zu beurteilenden Falle seine Befangenheit befürchten lassen. Der Beschwerdeführer macht jedoch nicht geltend, dass der durch diese kantonale Vorschrift gewährte Schutz weiter reiche als die verfassungs- und konventionsrechtliche Garantie. Daher ist vorliegend einzig, und zwar mit freier Kognition, zu prüfen, ob diese Garantie eingehalten ist ( BGE 131 I 113 E. 3.2 S. 115 mit Hinweisen).</w:t>
      </w:r>
    </w:p>
    <w:p>
      <w:r>
        <w:rPr>
          <w:b/>
        </w:rPr>
        <w:t>E. 2</w:t>
      </w:r>
    </w:p>
    <w:p>
      <w:r>
        <w:t>Nach Art. 30 Abs. 1 BV und Art. 6 Ziff. 1 EMRK , die in dieser Hinsicht dieselbe Tragweite aufweisen,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ist die Garantie verletzt ( BGE 131 I 24 E. 1.1 S. 25, 113 E. 3.4 S. 116, je mit Hinweisen). Der Eindruck möglicher Voreingenommenheit kann bei den Parteien entstehen, wenn einzelne Gerichtspersonen in einem früheren Verfahren mit der konkreten Streitsache schon einmal befasst waren. In einem solchen Fall der sog. Vorbefassung stellt sich die Frage, ob sich ein Richter durch seine Mitwirkung an früheren Entscheidungen in einzelnen Punkten bereits in einem Mass festgelegt hat, das ihn nicht mehr als unbefangen und dementsprechend das Verfahren als nicht mehr offen erscheinen lässt. Ob von einer unzulässigen, den Verfahrensausgang vorwegnehmenden Vorbefassung eines Richters auszugehen ist, kann nicht generell gesagt werden, sondern ist im Einzelfall anhand der tatsächlichen und verfahrensrechtlichen Umstände zu untersuchen ( BGE 131 I 113 E. 3.4 116 f. mit Hinweisen). Die Tatsache, dass ein Richter an einem Urteil mitgewirkt hat, das im Rechtsmittelverfahren aufgehoben wird, schliesst diesen nach der Rechtsprechung noch nicht von der Neubeurteilung der zurückgewiesenen Sache aus, zumal er sich dabei an die Auffassung der Rechtsmittelinstanz zu halten hat (vgl. BGE 131 I 113 E. 3.6 S. 120 mit Hinweisen). Es ist zwar einfühlbar, dass eine Partei einem Richter misstraut, vor dem sie in einem vorangegangenen Verfahren unterlegen ist. Da aber die Befürchtung der Voreingenommenheit nach der Rechtsprechung objektiv begründet erscheinen muss, bedarf es zusätzlicher Tatsachen, die den Schluss auf Parteilichkeit zulassen. Das kann der Fall sein, wenn der Richter nach Aufhebung seines früheren Urteils durch die obere Instanz auf seine Überzeugung zurückkommen und etwa entgegen seiner persönlichen Gewissheit Beweismassnahmen ausführen sowie deren Ergebnisse neu werten müsste ( BGE 116 Ia 28 E. 2b S. 30 f.).</w:t>
      </w:r>
    </w:p>
    <w:p>
      <w:r>
        <w:rPr>
          <w:b/>
        </w:rPr>
        <w:t>E. 3.1</w:t>
      </w:r>
    </w:p>
    <w:p>
      <w:r>
        <w:t>Vorliegend stellt sich die Ausstandsfrage in einem Fall der Vorbefassung. Die vom Beschwerdeführer abgelehnten Justizpersonen haben bereits an dem - vom Kassationshof des Bundesgerichts aufgehobenen - Berufungsurteil vom 11. Mai 2005 gegen den Beschwerdeführer mitgewirkt. In diesem Berufungsurteil wurde die Verwahrung des Beschwerdeführers angeordnet. Insofern stellte der Kassationshof in seinem Urteil vom 24. September 2005 eine mangelhafte Abklärung des rechtserheblichen Sachverhalts in folgender Hinsicht fest: Das psychiatrische Gutachten vom 16. Mai 2003 war zu wenig schlüssig bezüglich der Notwendigkeit dieser Massnahme im konkreten Fall (Urteil 6S.258/2005, E. 2.3).</w:t>
      </w:r>
    </w:p>
    <w:p>
      <w:r>
        <w:rPr>
          <w:b/>
        </w:rPr>
        <w:t>E. 3.2</w:t>
      </w:r>
    </w:p>
    <w:p>
      <w:r>
        <w:t>Im Gegensatz zum bundesgerichtlichen Entscheid hatte die 1. Strafkammer des Obergerichts dieses Gutachten im Berufungsurteil für schlüssig gehalten. Sie hatte das vom Beschwerdeführer zuvor beantragte zusätzliche psychiatrische Gutachten ausdrücklich abgelehnt. Damit liegt dem aufgehobenen Entscheid insofern eine antizipierte Beweiswürdigung zugrunde. Dessen ungeachtet vertritt die obergerichtliche Verwaltungskommission im angefochtenen Entscheid die Auffassung, die abgelehnten Gerichtspersonen seien einer unbefangenen Würdigung des inzwischen eingeholten Ergänzungsgutachtens hinreichend zugänglich. Diese hätten - nach dem Berufungsurteil zu schliessen - bloss die Aussagekraft des ersten Gutachtens falsch verstanden; sie hätten indessen dort keine antizipierende Beweiswürdigung in dem Sinne vorgenommen, dass die damals noch abgelehnte Einholung eines zusätzlichen Gutachtens zu keinem anderen Ergebnis als zu einer Verwahrung führen könnte.</w:t>
      </w:r>
    </w:p>
    <w:p>
      <w:r>
        <w:rPr>
          <w:b/>
        </w:rPr>
        <w:t>E. 3.3</w:t>
      </w:r>
    </w:p>
    <w:p>
      <w:r>
        <w:t>Die vom Beschwerdeführer vorgebrachten Einwände gegen die Würdigung im angefochtenen Entscheid überzeugen nicht. Dass die 1. Strafkammer des Obergerichts ein ergänzendes Gutachten im Zusammenhang mit der zur Diskussion stehenden Verwahrung im ersten Urteil ablehnte, beruhte offensichtlich auf ihrem unrichtigen Verständnis des vorhandenen Gutachtens. Zwar trifft es zu, dass die sichernde Massnahme in jenem Urteil nicht nur mit den Ausführungen dieses Gutachtens, sondern auch mit der vom Gericht selbst gewürdigten Vorgeschichte des Beschwerdeführers gerechtfertigt wurde. Hierbei hatte es aber nicht die Meinung, ein zusätzliches Gutachten erübrige sich auch wegen dieser Vorgeschichte. Im Gegenteil stellte jenes Urteil die Pflicht, den Entscheid über eine Verwahrung auf eine rechtsgenügliche psychiatrische Expertise abzustützen, nicht in Frage. Wie der angefochtene Entscheid zu Recht festhält, wurde im fraglichen Urteil auch nicht zum Ausdruck gebracht, dass der Inhalt eines zusätzlichen Gutachtens für den Verfahrensausgang unerheblich wäre. Die Verwahrung wurde vielmehr unter ausdrücklichem Bezug auf die damalige gutachterliche Einschätzung beschlossen, wonach wenig Aussicht bestehe, das Rückfallrisiko des Beschwerdeführers mit irgendeiner in Frage kommenden Therapie wesentlich reduzieren zu können. Eine derartige Entscheidbegründung schliesst es nicht von vornherein aus, dass die Notwendigkeit einer Verwahrung bei einer abweichenden gutachterlichen Stellungnahme hätte verneint werden können.</w:t>
      </w:r>
    </w:p>
    <w:p>
      <w:r>
        <w:rPr>
          <w:b/>
        </w:rPr>
        <w:t>E. 3.4</w:t>
      </w:r>
    </w:p>
    <w:p>
      <w:r>
        <w:t>Zusammengefasst: Der antizipierten Beweiswürdigung, mit der ein ergänzendes Gutachten als entbehrlich eingestuft wurde, kam im Hinblick auf die damals zu Unrecht angeordnete Verwahrung nur eine beschränkte Tragweite zu. Daraus lässt sich keine Voreingenommenheit für eine erneute Prüfung dieser Massnahme, nach Vorliegen des verlangten Ergänzungsgutachtens, ableiten.</w:t>
      </w:r>
    </w:p>
    <w:p>
      <w:r>
        <w:rPr>
          <w:b/>
        </w:rPr>
        <w:t>E. 4</w:t>
      </w:r>
    </w:p>
    <w:p>
      <w:r>
        <w:t>Nach dem Gesagten ist die Beschwerde abzuweisen. Die Voraussetzungen von Art. 152 OG sind erfüllt. Dem Begehren um unentgeltliche Rechtspflege und Verbeiständung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