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1P.655/2004 vom 18. November 2004</w:t>
      </w:r>
    </w:p>
    <w:p>
      <w:r>
        <w:t>Bundesgericht, 2004-11-18, DE</w:t>
      </w:r>
    </w:p>
    <w:p>
      <w:r>
        <w:rPr>
          <w:b/>
        </w:rPr>
        <w:t xml:space="preserve">Quelle: </w:t>
      </w:r>
      <w:r>
        <w:t>https://mcp.opencaselaw.ch/entscheid/bger_1P.655_2004</w:t>
      </w:r>
    </w:p>
    <w:p>
      <w:r>
        <w:t>FR: TF 1P.655/2004 du 18 novembre 2004</w:t>
      </w:r>
    </w:p>
    <w:p>
      <w:r>
        <w:t>IT: TF 1P.655/2004 del 18 novembre 2004</w:t>
      </w:r>
    </w:p>
    <w:p>
      <w:pPr>
        <w:pStyle w:val="Heading2"/>
      </w:pPr>
      <w:r>
        <w:t>Regeste</w:t>
      </w:r>
    </w:p>
    <w:p>
      <w:r>
        <w:t>Strafverfahren | Strafprozess</w:t>
      </w:r>
    </w:p>
    <w:p>
      <w:pPr>
        <w:pStyle w:val="Heading2"/>
      </w:pPr>
      <w:r>
        <w:t>Erwägungen</w:t>
      </w:r>
    </w:p>
    <w:p>
      <w:r>
        <w:rPr>
          <w:b/>
        </w:rPr>
        <w:t>E. 1</w:t>
      </w:r>
    </w:p>
    <w:p>
      <w:r>
        <w:t>Das Bezirksgericht Oberegg sprach X.________ mit Urteil vom 27. Oktober 2003 der mehrfachen Widerhandlung gegen das Betäubungsmittelgesetz ( Art. 19 Ziff. 1 BetmG ) schuldig und verurteilte ihn zu einer bedingten Gefängnisstrafe von sieben Tagen sowie zu einer Busse von Fr. 500.--. Das Kantonsgericht Appenzell Innerrhoden bestätigte am 7. September 2004 auf Berufung von X.________ hin das erstinstanzliche Urteil.</w:t>
      </w:r>
    </w:p>
    <w:p>
      <w:r>
        <w:rPr>
          <w:b/>
        </w:rPr>
        <w:t>E. 2</w:t>
      </w:r>
    </w:p>
    <w:p>
      <w:r>
        <w:t>Gegen dieses Urteil des Kantonsgerichts Appenzell Innerrhoden reichte X.________ am 8. November 2004 eine als Nichtigkeitsbeschwerde bezeichnete Eingabe beim Bundesgericht ein. Das Bundesgericht verzichtet auf die Einholung von Vernehmlassungen.</w:t>
      </w:r>
    </w:p>
    <w:p>
      <w:r>
        <w:rPr>
          <w:b/>
        </w:rPr>
        <w:t>E. 3</w:t>
      </w:r>
    </w:p>
    <w:p>
      <w:r>
        <w:t>Aus der Eingabe geht nicht hervor, inwiefern das angefochtene Urteil eidgenössisches Strafrecht im Sinne von Art. 269 Abs. 1 BStP verletzen sollte. Der Beschwerdeführer behauptet einzig eine Verletzung verfassungsmässiger Rechte. Eine solche Rüge ist mit staatsrechtlicher Beschwerde und nicht mit eidgenössischer Nichtigkeitsbeschwerde geltend zu machen (vgl. Art. 269 Abs. 2 BStP ). Die vorliegende Beschwerde ist deshalb als staatsrechtliche Beschwerde entgegenzunehmen.</w:t>
      </w:r>
    </w:p>
    <w:p>
      <w:r>
        <w:rPr>
          <w:b/>
        </w:rPr>
        <w:t>E. 4</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Der Beschwerdeführer setzt sich in seiner Eingabe mit der Begründung des angefochtenen Urteils des Kantonsgerichts nicht auseinander und legt somit nicht dar, inwiefern diese verfassungs- oder konventionswidrig sein soll. Mangels einer genügenden Begründung im Sinne von Art. 90 Abs. 1 lit. b OG ist daher auf die Beschwerde nicht einzutreten.</w:t>
      </w:r>
    </w:p>
    <w:p>
      <w:r>
        <w:rPr>
          <w:b/>
        </w:rPr>
        <w:t>E. 5</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