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1P.653/2004 vom 11. Januar 2005</w:t>
      </w:r>
    </w:p>
    <w:p>
      <w:r>
        <w:t>Bundesgericht, 2005-01-11, FR</w:t>
      </w:r>
    </w:p>
    <w:p>
      <w:r>
        <w:rPr>
          <w:b/>
        </w:rPr>
        <w:t xml:space="preserve">Quelle: </w:t>
      </w:r>
      <w:r>
        <w:t>https://mcp.opencaselaw.ch/entscheid/bger_1P.653_2004</w:t>
      </w:r>
    </w:p>
    <w:p>
      <w:r>
        <w:t>FR: TF 1P.653/2004 du 11 janvier 2005</w:t>
      </w:r>
    </w:p>
    <w:p>
      <w:r>
        <w:t>IT: TF 1P.653/2004 del 11 gennaio 2005</w:t>
      </w:r>
    </w:p>
    <w:p>
      <w:pPr>
        <w:pStyle w:val="Heading2"/>
      </w:pPr>
      <w:r>
        <w:t>Regeste</w:t>
      </w:r>
    </w:p>
    <w:p>
      <w:r>
        <w:t>procédure pénale; déni de justice formel | Procédure pénale</w:t>
      </w:r>
    </w:p>
    <w:p>
      <w:pPr>
        <w:pStyle w:val="Heading2"/>
      </w:pPr>
      <w:r>
        <w:t>Erwägungen</w:t>
      </w:r>
    </w:p>
    <w:p>
      <w:r>
        <w:rPr>
          <w:b/>
        </w:rPr>
        <w:t>E. 1</w:t>
      </w:r>
    </w:p>
    <w:p>
      <w:r>
        <w:t>Le Tribunal fédéral peut rejeter selon une procédure simplifiée les recours manifestement infondés ( art. 36a al. 1 let. b OJ ). L'arrêt est alors sommairement motivé ( art. 36a al. 3 OJ ).</w:t>
      </w:r>
    </w:p>
    <w:p>
      <w:r>
        <w:rPr>
          <w:b/>
        </w:rPr>
        <w:t>E. 2</w:t>
      </w:r>
    </w:p>
    <w:p>
      <w:r>
        <w:t>La recourante reproche au Juge d'instruction un retard injustifié à statuer, et partant une violation de l' art. 29 al. 1 Cst. Elle fait valoir que la Chambre pénale aurait dû admettre sa plainte (au sens de l' art. 166 CPP /VS), moyen de droit disponible pour dénoncer un déni de justice formel. Elle prétend en outre que la procédure pénale aurait été suspendue de manière arbitraire, sans base légale en droit cantonal.</w:t>
      </w:r>
    </w:p>
    <w:p>
      <w:r>
        <w:rPr>
          <w:b/>
        </w:rPr>
        <w:t>E. 2.1</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La durée du délai raisonnable n'est pas influencée par des circonstances étrangères au problème à résoudre (cf., à propos de l' art. 29 al. 1 Cst. et de la garantie correspondante déduite auparavant de l' art. 4 al. 1 aCst. : ATF 125 V 188 consid. 2a p. 191, 373 consid. 2b/aa p. 375; 119 Ib 311 consid. 5b p. 325; 119 III 1 consid. 2 p. 3; 107 Ib 160 consid. 3c p. 165; 103 V 190 consid. 3c p. 195; cf. également ATF 124 I 139 consid. 2c p. 142). Il s'agit dès lors de contrôler si, à la date de la décision de la Chambre pénale, la durée de la procédure était excessive. Le grief d'arbitraire n'a en l'espèce pas de portée indépendante. D'ailleurs, il ne ressort pas du dossier qu'au jour du dépôt de la plainte selon l' art. 166 CPP / VS, les trois affaires pénales concernées auraient été formellement ou implicitement suspendues.</w:t>
      </w:r>
    </w:p>
    <w:p>
      <w:r>
        <w:rPr>
          <w:b/>
        </w:rPr>
        <w:t>E. 2.2</w:t>
      </w:r>
    </w:p>
    <w:p>
      <w:r>
        <w:t>En l'espèce, il est évident que le traitement des dénonciations pénales est lié au sort d'autres procédures concernant le même complexe de faits, ce que la recourante ne conteste pas de manière concluante. De plus, le Juge d'instruction n'est pas resté inactif dans la période précédant la plainte à la Chambre pénale. Au demeurant, la juridiction cantonale a invité le Juge d'instruction à poursuivre son examen. Dans ces conditions, le grief de violation de l' art. 29 al. 1 Cst. est manifestement mal fondé.</w:t>
      </w:r>
    </w:p>
    <w:p>
      <w:r>
        <w:rPr>
          <w:b/>
        </w:rPr>
        <w:t>E. 3</w:t>
      </w:r>
    </w:p>
    <w:p>
      <w:r>
        <w:t>Il s'ensuit que le recours de droit public doit être rejeté. La recourante, qui succombe, doit payer un émolument judiciaire ( art. 153,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