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1P.63/2000 vom 5. Juli 2000</w:t>
      </w:r>
    </w:p>
    <w:p>
      <w:r>
        <w:t>Bundesgericht, 2000-07-05, FR</w:t>
      </w:r>
    </w:p>
    <w:p>
      <w:r>
        <w:rPr>
          <w:b/>
        </w:rPr>
        <w:t xml:space="preserve">Quelle: </w:t>
      </w:r>
      <w:r>
        <w:t>https://mcp.opencaselaw.ch/entscheid/bger_1P.63_2000</w:t>
      </w:r>
    </w:p>
    <w:p>
      <w:r>
        <w:t>FR: TF 1P.63/2000 du 5 juillet 2000</w:t>
      </w:r>
    </w:p>
    <w:p>
      <w:r>
        <w:t>IT: TF 1P.63/2000 del 5 luglio 2000</w:t>
      </w:r>
    </w:p>
    <w:p>
      <w:pPr>
        <w:pStyle w:val="Heading2"/>
      </w:pPr>
      <w:r>
        <w:t>Regeste</w:t>
      </w:r>
    </w:p>
    <w:p>
      <w:r>
        <w:t>Aménagement du territoire et droit public des constructions</w:t>
      </w:r>
    </w:p>
    <w:p>
      <w:pPr>
        <w:pStyle w:val="Heading2"/>
      </w:pPr>
      <w:r>
        <w:t>Erwägungen</w:t>
      </w:r>
    </w:p>
    <w:p>
      <w:r>
        <w:rPr>
          <w:b/>
        </w:rPr>
        <w:t>E. 1</w:t>
      </w:r>
    </w:p>
    <w:p>
      <w:r>
        <w:t>En vertu de l' art. 88 OJ , le droit de former un recours de droit public contre un plan d'affectation, tel qu'un plan de quartier ou d'alignement, n'appartient en règle générale qu'au propriétaire d'un bien-fonds. Le propriétaire recourant est autorisé à faire valoir que la mise en vigueur du plan porte atteinte à ses droits constitutionnels en réduisant à néant ou en modifiant la portée de règles destinées notamment à protéger ses intérêts, ou en restreignant l'utilisation de son bien. Il est sans importance que le fonds soit inclus dans le périmètre du plan ou situé à l'extérieur de celui-ci, mais la qualité pour recourir du propriétaire se limite toujours à la contestation des effets du plan sur son propre fonds ( ATF 112 Ia 90 consid. 3 p. 91; voir aussi ATF 119 Ia 362 consid. 1b p. 364, 433 consid. 2c p. 437 i.f., 116 Ia 193 consid. 1b p. 194, 116 Ia 433 consid. 2a p. 436). Lorsque le plan fixe le volume, l'implantation et la destination de bâtiments à construire, le propriétaire voisin ne peut se prévaloir que de prescriptions destinées au moins accessoirement à protéger les intérêts des voisins, telles que les règles relatives à la densité des constructions et aux distances à observer entre elles et les limites de propriété. Le recourant doit démontrer qu'il fait partie des voisins dont les dispositions invoquées doivent assurer la protection et qu'il est atteint par la violation dénoncée ( ATF 118 Ia 112 consid. 2a p. 116, 118 Ia 232 consid. 1a p. 234, 117 Ia 18 consid. 3b p. 19). Le plan litigieux a précisément pour objet de fixer l'implantation d'un bâtiment futur par rapport à un bien-fonds dont les recourants sont tous copropriétaires; ceux-ci ont donc qualité pour agir.</w:t>
      </w:r>
    </w:p>
    <w:p>
      <w:r>
        <w:rPr>
          <w:b/>
        </w:rPr>
        <w:t>E. 2</w:t>
      </w:r>
    </w:p>
    <w:p>
      <w:r>
        <w:t>Une décision est arbitraire, et donc contraire aux art. 9 Cst. ou 4 aCst.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125 I 166 consid. 2a p. 168; 125 II 10 consid. 3a p. 15, 129 consid. 5b p. 134; 124 V 137 consid. 2b p. 139; 124 IV 86 consid. 2a p. 88).</w:t>
      </w:r>
    </w:p>
    <w:p>
      <w:r>
        <w:rPr>
          <w:b/>
        </w:rPr>
        <w:t>E. 3</w:t>
      </w:r>
    </w:p>
    <w:p>
      <w:r>
        <w:t>L'art. 161 al. 1 et 3 de la loi fribourgeoise du 9 mai 1983 sur l'aménagement du territoire et les constructions (LATeC) prévoit que le plan d'affectation détermine l'ordre contigu ou non contigu des constructions (al. 1). Dans l'ordre contigu, les bâtiments sont implantés, en règle générale, en limite de propriété. Des prescriptions spéciales doivent notamment fixer les alignements, les profondeurs des bâtiments, les gabarits verticaux, ainsi que les distances à observer pour les bâtiments ou parties de bâtiments non construits en limite de propriété. Ces prescriptions doivent figurer dans le règlement communal ou dans un plan d'aménagement de détail (al. 3). L'autorité de planification est tenue de fixer des alignements, mais elle jouit à cet égard d'un large pouvoir d'appréciation. Elle détermine librement leur position, soit par rapport aux rues ou aux autres voies de desserte, soit par rapport aux limites des propriétés voisines. En particulier, aucune distance minimum n'est imposée; les distances entre limites de construction, prévues par la loi cantonale du 15 décembre 1967 sur les routes (art. 115 à 118), ne concernent que les zones de l'ordre non contigu. Il est d'ailleurs courant, dans le centre des villes, que des bâtiments en ordre contigu soient édifiés directement en bordure des voies de circulation. Dans le cas particulier, la succession des constructions en ordre contigu n'est certes pas envisagée le long de la voie concernée, mais au contraire perpendiculairement à celle-ci; d'après le plan litigieux et le projet concrètement prévu sur la parcelle n° 6192, l'ensemble formé par les bâtiments accolés se terminera sur ce bien-fonds, par un mur aveugle à la limite de la rue privée, mur qui ne sera en principe pas en attente d'un autre bâtiment contigu. Quoique atypique, cette situation n'est clairement exclue ni par l'art. 161 al. 3 LATeC, ni par aucune des autres dispositions invoquées par les recourants. En particulier, l'art. 52 du règlement d'exécution de la loi sur les constructions (RELATeC), accompagné d'un schéma, est une simple illustration de l'art. 161 al. 3 précité; il ne comporte aucune directive supplémentaire à l'intention de l'autorité de planification. La solution retenue peut, le cas échéant, se justifier pour assurer une répartition esthétique des volumes bâtis, ou permettre une transition harmonieuse entre des groupes de bâtiments de types différents. Les recourants ne tentent pas de démontrer que cette solution puisse réellement entraîner des inconvénients notables dans l'utilisation actuelle ou future, conforme à la destination de l'immeuble, de la rue dont ils sont propriétaires. D'ailleurs, maintenant déjà, des constructions sont présentes à la limite de la parcelle n° 6192. Ils échouent donc à mettre en évidence une application arbitraire de la législation déterminante, ou un exercice arbitraire du pouvoir d'appréciation conféré aux autorités. En tant que les recourants critiquent l'intégration esthétique du bâtiment projeté ou tiennent sa réalisation pour inadéquate par rapport au caractère des immeubles environnants, leur argumentation n'est pas recevable au regard de l' art. 88 OJ . Au demeurant, le remplacement de hangars désaffectés, sans valeur architecturale, par un bâtiment d'habitation de plus grande hauteur peut exercer une influence favorable sur l'évolution d'un quartier; cette opération ne paraît donc pas d'emblée incompatible avec l'objectif de protection du tissu urbain qui est imposé par la réglementation communale.</w:t>
      </w:r>
    </w:p>
    <w:p>
      <w:r>
        <w:rPr>
          <w:b/>
        </w:rPr>
        <w:t>E. 4</w:t>
      </w:r>
    </w:p>
    <w:p>
      <w:r>
        <w:t>Le recours de droit public, mal fondé, doit être rejeté; l'émolument judiciaire incombe à ses auteurs.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