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1P.618/2003 vom 15. Januar 2004</w:t>
      </w:r>
    </w:p>
    <w:p>
      <w:r>
        <w:t>Bundesgericht, 2004-01-15, FR</w:t>
      </w:r>
    </w:p>
    <w:p>
      <w:r>
        <w:rPr>
          <w:b/>
        </w:rPr>
        <w:t xml:space="preserve">Quelle: </w:t>
      </w:r>
      <w:r>
        <w:t>https://mcp.opencaselaw.ch/entscheid/bger_1P.618_2003</w:t>
      </w:r>
    </w:p>
    <w:p>
      <w:r>
        <w:t>FR: TF 1P.618/2003 du 15 janvier 2004</w:t>
      </w:r>
    </w:p>
    <w:p>
      <w:r>
        <w:t>IT: TF 1P.618/2003 del 15 gennaio 2004</w:t>
      </w:r>
    </w:p>
    <w:p>
      <w:pPr>
        <w:pStyle w:val="Heading2"/>
      </w:pPr>
      <w:r>
        <w:t>Erwägungen</w:t>
      </w:r>
    </w:p>
    <w:p>
      <w:r>
        <w:rPr>
          <w:b/>
        </w:rPr>
        <w:t>E. 1</w:t>
      </w:r>
    </w:p>
    <w:p>
      <w:r>
        <w:t>Dans le procès pénal, même s'il est mineur ou interdit, le prévenu capable de discernement a la capacité d'user lui-même des voies de recours à disposition, sans avoir besoin du consentement de son représentant légal ( ATF 88 IV 111 consid. 2 et 3; voir aussi ATF 112 IV 9 consid. 1a). Toutefois, sa capacité n'exclut pas le pouvoir du représentant légal d'exercer lui aussi les recours ouverts au prévenu, même contre la volonté de ce dernier ( ATF 75 IV 142 ). Le lésé capable de discernement et son représentant légal jouissent d'ailleurs aussi, chacun, d'un droit indépendant de déposer une plainte pénale ( ATF 127 IV 193 consid. 5b). Il n'est donc pas nécessaire de rechercher si A.________ peut être considérée comme capable de discernement, ni, dans l'affirmative, si elle consent aux démarches que son père accomplit en son nom pour obtenir la récusation litigieuse. Il n'est pas non plus nécessaire de rechercher si B.________ pourrait aussi agir en son propre nom (cf. ATF 122 I 109 consid. 1b p. 112).</w:t>
      </w:r>
    </w:p>
    <w:p>
      <w:r>
        <w:rPr>
          <w:b/>
        </w:rPr>
        <w:t>E. 2</w:t>
      </w:r>
    </w:p>
    <w:p>
      <w:r>
        <w:t>Le droit d'être entendu garanti par l' art. 29 al. 2 Cst.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sans qu'elle soit tenue de répondre à tous les arguments présentés ( ATF 112 Ia 107 consid. 2b p. 109; voir aussi ATF 126 I 97 consid. 2b p. 102, 125 II 369 consid. 2c p. 372, 124 II 146 consid. 2a p. 149).</w:t>
      </w:r>
    </w:p>
    <w:p>
      <w:r>
        <w:rPr>
          <w:b/>
        </w:rPr>
        <w:t>E. 3</w:t>
      </w:r>
    </w:p>
    <w:p>
      <w:r>
        <w:t>La garantie d'un tribunal indépendant et impartial instituée par l' art. 6 par. 1 CEDH , à l'instar de la protection conférée par l' art. 30 al. 1 Cst. , permet au plaideur de s'opposer à une application arbitraire des règles cantonales sur l'organisation et la composition des tribunaux, qui comprennent les prescriptions relatives à la récusation des juges. Elle permet aussi, indépendamment du droit cantonal,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116 Ia 135 consid. 2; voir aussi ATF 126 I 68 consid. 3 p. 73, 125 I 119 consid. 3a p. 122, 124 I 255 consid. 4a p. 261).</w:t>
      </w:r>
    </w:p>
    <w:p>
      <w:r>
        <w:t>En particulier, même lorsqu'elles sont établies, des erreurs de procédure ou d'appréciation commises par un juge ne suffisent pas à fonder objectivement un soupçon de partialité; seules des erreurs particulièrement lourdes ou répétées, qui doivent être considérés comme des violations graves des devoirs du magistrat, peuvent avoir cette conséquence. Les erreurs éventuellement commises doivent être constatées et redressées dans le cadre des procédures de recours prévues par la loi; il n'appartient pas au juge de la récusation d'examiner la conduite du procès à la façon d'un organe de surveillance ( ATF 116 Ia 135 consid. 3a p. 138; 114 Ia 153 consid. 3b/bb p. 158).</w:t>
      </w:r>
    </w:p>
    <w:p>
      <w:r>
        <w:rPr>
          <w:b/>
        </w:rPr>
        <w:t>E. 4</w:t>
      </w:r>
    </w:p>
    <w:p>
      <w:r>
        <w:t>Le Tribunal d'accusation ne s'est prononcé sur les motifs de la demande de récusation qu'au regard du droit cantonal, sans prendre position sur l'incidence des règles de rang supérieur. Or, l' art. 29 CPP vaud. n'accorde pas une protection équivalant à celle garantie par les art. 30 al. 1 Cst. et 6 par. 1 CEDH. En particulier, ces dernières dispositions, à la différence de la première, permettent d'exiger la récusation d'un juge en cas d'erreurs lourdes ou répétées dans la conduite du procès ou dans les mesures prises pour la durée de celui-ci.</w:t>
      </w:r>
    </w:p>
    <w:p>
      <w:r>
        <w:t>Selon l'argumentation présentée à l'appui de la demande de récusation, la Présidente du Tribunal des mineurs avait commis de graves erreurs dans les mesures prises à l'égard de la prévenue, puis persisté en dépit des événements qui survenaient à la Clairière d'abord, à la ferme des Bruyères ensuite, et des interventions répétées des parents, alors que tout cela aurait dû alerter le magistrat responsable et le déterminer à prendre des mesures appropriées à la situation. Les reproches ainsi élevés reposaient sur des faits précisément allégués et, dans une large mesure, aisément vérifiables d'après le dossier. Néanmoins, l'arrêt attaqué ne contient aucune allusion à ces reproches, de sorte que le Tribunal d'accusation semble avoir fait abstraction de la protection spécifique garantie par le droit constitutionnel. On ne parvient en tout cas pas à reconnaître pourquoi le Tribunal d'accusation tient les erreurs dénoncées pour non avenues ou, le cas échéant, insuffisamment graves pour justifier la suspicion de partialité. Au regard de cette situation, la recourante est fondée à se plaindre d'une motivation déficiente de ce prononcé. Celui-ci doit donc être annulé pour violation de l' art. 29 al. 2 Cst.</w:t>
      </w:r>
    </w:p>
    <w:p>
      <w:r>
        <w:rPr>
          <w:b/>
        </w:rPr>
        <w:t>E. 5</w:t>
      </w:r>
    </w:p>
    <w:p>
      <w:r>
        <w:t>Le recours de droit public a été introduit par un représentant légal de la recourante, qui exerce la profession d'avocat mais n'est pas impliqué en qualité de mandataire rétribué par son client. Pour statuer sur les conclusions de la recourante tendant à l'allocation de dépens, il convient d'appliquer par analogie les règles concernant l'avocat qui a agi en son propre nom, sans se faire représenter par un confrère, et a obtenu gain de cause.</w:t>
      </w:r>
    </w:p>
    <w:p>
      <w:r>
        <w:t>En pareil cas, selon la jurisprudence relative à l' art. 159 al. 1 et 2 OJ , les dépens sont alloués notamment s'il s'agissait d'une affaire complexe avec une valeur litigieuse élevée, ayant exigé de l'avocat un travail important, excédant les efforts que chacun doit normalement et raisonnablement consacrer à la gestion de ses affaires personnelles ( ATF 125 II 518 consid. 5b p. 519). Les dépens peuvent toutefois aussi être alloués lorsque d'autres circonstances particulières le justifient, selon l'art. 2 al. 2 du tarif (RS 173.119.1). En l'occurrence, la nature de l'affaire justifie l'allocation de dépens alors même qu'il n'y a pas de valeur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