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1P.615/2002 vom 23. Januar 2003</w:t>
      </w:r>
    </w:p>
    <w:p>
      <w:r>
        <w:t>Bundesgericht, 2003-01-23, IT</w:t>
      </w:r>
    </w:p>
    <w:p>
      <w:r>
        <w:rPr>
          <w:b/>
        </w:rPr>
        <w:t xml:space="preserve">Quelle: </w:t>
      </w:r>
      <w:r>
        <w:t>https://mcp.opencaselaw.ch/entscheid/bger_1P.615_2002</w:t>
      </w:r>
    </w:p>
    <w:p>
      <w:r>
        <w:t>FR: TF 1P.615/2002 du 23 janvier 2003</w:t>
      </w:r>
    </w:p>
    <w:p>
      <w:r>
        <w:t>IT: TF 1P.615/2002 del 23 gennaio 2003</w:t>
      </w:r>
    </w:p>
    <w:p>
      <w:pPr>
        <w:pStyle w:val="Heading2"/>
      </w:pPr>
      <w:r>
        <w:t>Regeste</w:t>
      </w:r>
    </w:p>
    <w:p>
      <w:r>
        <w:t>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l'ammissibilità dei ricorsi, senza essere vincolato, in tale ambito, dagli argomenti delle parti o dalle loro conclusioni ( DTF 128 I 177 consid. 1, 128 II 46 consid. 2a, 127 III 41 consid. 2a).</w:t>
      </w:r>
    </w:p>
    <w:p>
      <w:r>
        <w:rPr>
          <w:b/>
        </w:rPr>
        <w:t>E. 1.1</w:t>
      </w:r>
    </w:p>
    <w:p>
      <w:r>
        <w:t>Il ricorso, tempestivo ( art. 89 cpv. 1 OG ), interposto contro una decisione finale ( art. 87 OG ) emanata dall'ultima istanza cantonale, adempie il requisito dell'esaurimento delle istanze cantonali ( art. 86 cpv. 1 OG ).</w:t>
      </w:r>
    </w:p>
    <w:p>
      <w:r>
        <w:rPr>
          <w:b/>
        </w:rPr>
        <w:t>E. 1.2</w:t>
      </w:r>
    </w:p>
    <w:p>
      <w:r>
        <w:t>Secondo l' art. 88 OG il diritto di presentare un ricorso di diritto pubblico spetta ai privati che si trovano lesi nei loro diritti da decisioni che li riguardano personalmente o che rivestono carattere obbligatorio generale. La circostanza ch'essi avessero qualità di parte nella sede cantonale è irrilevante ( DTF 123 I 279 consid. 3b, 121 I 267 consid. 2). Questo rimedio è quindi aperto solamente a chi è toccato dal provvedimento nei suoi interessi personali e giuridicamente protetti; il ricorso presentato nell'interesse generale o per tutelare semplici interessi di fatto è per contro irricevibile ( DTF 126 I 81 consid. 3b, 116 Ia 177 consid. 3a). In ambito edilizio la legittimazione a interporre un ricorso di diritto pubblico contro il rilascio di una licenza edilizia è riconosciuta in particolare al proprietario di un fondo vicino, quando faccia valere la violazione di disposizioni destinate a proteggere non soltanto l'interesse pubblico, ma anche quello dei vicini ( DTF 127 I 44 consid. 2c pag. 46). Egli deve inoltre rientrare nell'ambito di protezione di queste disposizioni ed essere toccato dai pretesi effetti illeciti della costruzione litigiosa ( DTF 118 Ia 232 consid. 1a e rinvii). Questi presupposti sono generalmente adempiuti quando il vicino fa valere la violazione di disposizioni concernenti le dimensioni, le distanze dai confini, l'altezza e il numero dei piani degli edifici ( DTF 127 I 44 consid. 2d e rinvii, 117 Ia 18 consid. 3b, 112 Ia 413 e rinvii). In tali circostanze, anche il conduttore di un fondo vicino può essere legittimato a presentare un ricorso di diritto pubblico nel caso in cui una restrizione della garanzia della proprietà colpisca non soltanto il proprietario, ma anche sé medesimo nei suoi diritti ( DTF 116 Ia 177 consid. 3a, 109 Ia 91 consid. c pag. 94, 106 Ia 409, 105 Ia 43; Walter Kälin, Das Verfahren der staatsrechtlichen Beschwerde, 2a ed., Berna 1994, pag. 256). Il conduttore non può tuttavia limitarsi a far valere semplici interessi materiali, ma deve dimostrare, o quantomeno rendere verosimile, la violazione di disposizioni che proteggono i suoi interessi ( DTF 109 Ia 91 consid. c pag. 94, 106 Ia 409 consid. 4; Kälin, op. cit., pag. 249). I ricorrenti non hanno, nella fattispecie, la qualità di vicini e non invocano esplicitamente la garanzia della proprietà. D'altra parte, il rilascio della licenza edilizia litigiosa permette al proprietario istante di attuare il suo diritto di proprietà e non ne costituisce una restrizione che avrebbe potuto indirettamente colpire anche il locatario. I ricorrenti censurano in sostanza una pretesa applicazione arbitraria dell'art. 16 n. 2.2 e dell'art. 46 delle norme di attuazione del piano regolatore di Lugano, del 21 marzo 1984, e sostengono che l'opera progettata comporterebbe la chiusura di quattro finestre e il conseguente oscuramento di due locali di cui sono conduttori. Queste disposizioni, che regolano le distanze tra edifici e le costruzioni su fondi contigui, tutelano tra l'altro l'interesse dei vicini, ma non sanciscono diritti a favore dei locatari del fondo stesso oggetto dell'edificazione, né tendono a proteggerli specificatamente o ad intervenire nei rapporti di locazione (cfr. DTF 106 Ia 409 consid. 4). Certo, l'intervento edilizio litigioso potrebbe comportare disagi per i ricorrenti, segnatamente riguardo alla possibilità di utilizzare taluni locali conformemente alla loro destinazione. Tali pregiudizi sarebbero tuttavia di natura materiale e, in quest'ambito, la protezione degli interessi dei locatari è principalmente assicurata dalle disposizioni di diritto federale in materia di locazione (cfr. DTF 106 Ia 409 consid. 4; cfr., in particolare, art. 256 cpv. 1 e art. 259 segg. CO; David Lachat, Le bail à loyer, Losanna 1997, pag. 141 segg. e 144). Risulta quindi da queste considerazioni che, censurando la violazione delle citate norme comunali di attuazione del piano regolatore, i ricorrenti non si prevalgono di un interesse giuridicamente protetto secondo l' art. 88 OG .</w:t>
      </w:r>
    </w:p>
    <w:p>
      <w:r>
        <w:rPr>
          <w:b/>
        </w:rPr>
        <w:t>E. 2</w:t>
      </w:r>
    </w:p>
    <w:p>
      <w:r>
        <w:t>Ne segue che il ricorso deve essere dichiarato inammissibile in applicazione dell' art. 88 OG . Le spese seguono la soccombenza ( art. 156 cpv. 1 OG ). I ricorrenti rifonderanno alla controparte, assistita da un avvocato, un'indennità a titolo di ripetibili della sede federale ( art. 159 cpv. 1 OG ). Il presente giudizio rende priva d'oggetto la domanda di conferimento dell'effetto sospensivo contenuta nel gravame.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