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1P.610/2003 vom 15. Dezember 2003</w:t>
      </w:r>
    </w:p>
    <w:p>
      <w:r>
        <w:t>Bundesgericht, 2003-12-15, DE</w:t>
      </w:r>
    </w:p>
    <w:p>
      <w:r>
        <w:rPr>
          <w:b/>
        </w:rPr>
        <w:t xml:space="preserve">Quelle: </w:t>
      </w:r>
      <w:r>
        <w:t>https://mcp.opencaselaw.ch/entscheid/bger_1P.610_2003</w:t>
      </w:r>
    </w:p>
    <w:p>
      <w:r>
        <w:t>FR: TF 1P.610/2003 du 15 décembre 2003</w:t>
      </w:r>
    </w:p>
    <w:p>
      <w:r>
        <w:t>IT: TF 1P.610/2003 del 15 dicembre 2003</w:t>
      </w:r>
    </w:p>
    <w:p>
      <w:pPr>
        <w:pStyle w:val="Heading2"/>
      </w:pPr>
      <w:r>
        <w:t>Regeste</w:t>
      </w:r>
    </w:p>
    <w:p>
      <w:r>
        <w:t>Strafprozess</w:t>
      </w:r>
    </w:p>
    <w:p>
      <w:pPr>
        <w:pStyle w:val="Heading2"/>
      </w:pPr>
      <w:r>
        <w:t>Erwägungen</w:t>
      </w:r>
    </w:p>
    <w:p>
      <w:r>
        <w:rPr>
          <w:b/>
        </w:rPr>
        <w:t>E. 1.1</w:t>
      </w:r>
    </w:p>
    <w:p>
      <w:r>
        <w:t>Die Legitimation zur staatsrechtlichen Beschwerde setzt die persönliche Betroffenheit der Beschwerdeführerin in eigenen rechtlich geschützten Positionen voraus ( Art. 88 OG ). Nach der Praxis des Bundesgerichts ist der durch eine angeblich strafbare Handlung Geschädigte grundsätzlich nicht legitimiert, gegen die Nichteröffnung oder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120 Ia 101 E. 1a S. 102).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Er kann beispielsweise geltend machen, auf ein Rechtsmittel sei zu Unrecht nicht eingetreten worden, er sei nicht angehört worden, habe keine Gelegenheit erhalten, Beweisanträge zu stellen, oder habe nicht Akteneinsicht nehmen können (vgl. BGE 128 I 218 E. 1.1 S. 219 f.).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120 Ia 157 E. 2a/bb S. 160 mit Hinweisen). Etwas anderes gilt für das Opfer im Sinne von Art. 2 Abs. 1 OHG .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128 I 218 E. 1.1 S. 219 f. mit Hinweisen).</w:t>
      </w:r>
    </w:p>
    <w:p>
      <w:r>
        <w:rPr>
          <w:b/>
        </w:rPr>
        <w:t>E. 1.2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S. 220 f. mit Hinweis). Eine unmittelbare Beeinträchtigung der psychischen Integrität kann nach der Praxis des Bundesgerichtes je nach den konkreten Umständen des Einzelfalles etwa bei Drohung, Nötigung oder Erpressung vorliegen. Mit der gesetzlichen Beschränkung auf "unmittelbare" Eingriffe sollen namentlich reine Vermögensdelikte wie Diebstahl oder Betrug von der Opferhilfe ausgenommen werden ( BGE 120 Ia 157 E. 2d/aa S. 162; vgl. Botschaft zum Opferhilfegesetz vom 25. April 1990, Bbl 1990 II 977).</w:t>
      </w:r>
    </w:p>
    <w:p>
      <w:r>
        <w:rPr>
          <w:b/>
        </w:rPr>
        <w:t>E. 1.3</w:t>
      </w:r>
    </w:p>
    <w:p>
      <w:r>
        <w:t>Für die angezeigten Straftatbestände (Sachbeschädigung und Tätlichkeit) kommt der Beschwerdeführerin keine Opferstellung im Sinne des OHG zu. Die Beschwerdeführerin macht denn auch nicht geltend, sie sei durch die behauptete Straftat in ihrer körperlichen, sexuellen oder psychischen Integrität im Sinne der zitierten Rechtsprechung unmittelbar beeinträchtigt worden.</w:t>
      </w:r>
    </w:p>
    <w:p>
      <w:r>
        <w:rPr>
          <w:b/>
        </w:rPr>
        <w:t>E. 1.4</w:t>
      </w:r>
    </w:p>
    <w:p>
      <w:r>
        <w:t>Somit kann der Beschwerdeführerin keine gegenüber der Praxis zu Art. 88 OG erweiterte Legitimation zuerkannt werden. Auf die Beschwerde ist daher nicht einzutreten, soweit die Nichteröffnung der Strafuntersuchung - und damit die Anwendung kantonalen Rechts - als willkürlich und als materielle Rechtsverweigerung gerügt wird. Hingegen ist zu prüfen, ob die Anklagekammer das rechtliche Gehör der Beschwerdeführerin verletzt hat.</w:t>
      </w:r>
    </w:p>
    <w:p>
      <w:r>
        <w:rPr>
          <w:b/>
        </w:rPr>
        <w:t>E. 2</w:t>
      </w:r>
    </w:p>
    <w:p>
      <w:r>
        <w:t>Nach Meinung der Beschwerdeführerin hat die Anklagekammer ihren Anspruch auf rechtliches Gehör verletzt, indem sie auf die Begründung des Bezirksgerichtes abgestellt und sich nicht mit der staatsanwaltschaftlichen Erwägung auseinander gesetzt habe, wonach der Beschwerdegegner den Vorfall vom 24. April 2002 "grosso modo" eingestanden habe. Mit den Einwendungen der Beschwerdeführerin zur Darstellung, dass Aussage gegen Aussage stände, habe sich die Anklagekammer nicht befasst.</w:t>
      </w:r>
    </w:p>
    <w:p>
      <w:r>
        <w:rPr>
          <w:b/>
        </w:rPr>
        <w:t>E. 2.1</w:t>
      </w:r>
    </w:p>
    <w:p>
      <w:r>
        <w:t>Art. 29 Abs. 2 BV gewährleistet den Anspruch auf rechtliches Gehör. Das rechtliche Gehör dient einerseits der Sachaufklärung, anderseits stellt es ein persönlichkeitsbezogenes Mitwirkungsrecht beim Erlass eines Entscheids dar, welcher in die Rechtstellung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2a S. 56 ; 124 I 241 E. 2 S. 242 mit Hinweisen). Das rechtliche Gehör verlangt, dass die Behörde die Vorbringen des vom Entscheid in seiner Rechtsstellung Betroffenen auch tatsächlich hört, prüft und in der Entscheidfindung berücksichtigt ( BGE 124 I 49 E. 3a S. 51, 241 E. 2 S. 242, je mit Hinweisen). Die Begründungspflicht und der Anspruch auf Begründung sind nicht bereits dadurch verletzt, dass sich die urteilende Behörde nicht mit allen Parteistandpunkten einlässlich auseinander setzt und jedes einzelne Vorbringen ausdrücklich widerlegt. Vielmehr kann sie sich auf die für den Entscheid wesentlichen Punkte beschränken (vgl. BGE 126 I 97 E. 2b S. 102; 124 II 146 E. 2a S. 149; 124 V 180 E. 1a S. 181 ; 123 I 31 E. 2c S. 34 ; 121 I 54 E. 2c S. 57, je mit Hinweisen). Die Frage, ob die verfassungsrechtlichen Minimalgarantien zur Wahrung des rechtlichen Gehörs im Einzelfall eingehalten sind, prüft das Bundesgericht mit freier Kognition ( BGE 125 I 417 E. 7a S. 430 ; 124 I 241 E. 2 S. 242 f.). Der Umfang des Gehöranspruchs bestimmt sich zunächst nach den kantonalen Verfahrensvorschriften, deren Auslegung und Handhabung das Bundesgericht unter dem Gesichtswinkel der Willkür prüft. Überdies greifen die unmittelbar aus Art. 29 Abs. 2 BV fliessenden bundesrechtlichen Minimalgarantien zur Sicherung des rechtlichen Gehörs Platz; ob diese verletzt sind, beurteilt das Bundesgericht mit freier Kognition ( BGE 126 I 19 E. 2a S. 21 f.; 116 Ia 94 E. 3a S. 98). Die Beschwerdeführerin macht nicht geltend, eine Norm des kantonalen Rechts gewähre einen umfassenderen Rechtsschutz als Art. 29 Abs. 2 BV . In der Folge ist daher zu prüfen, ob das kantonale Verfahren den verfassungsrechtlichen Anforderungen genügte.</w:t>
      </w:r>
    </w:p>
    <w:p>
      <w:r>
        <w:rPr>
          <w:b/>
        </w:rPr>
        <w:t>E. 2.2</w:t>
      </w:r>
    </w:p>
    <w:p>
      <w:r>
        <w:t>Im vorliegenden Fall hat sich die Anklagekammer mit den bekannten Tatsachen auseinander gesetzt und den Sachverhalt umfassend gewürdigt. Dass sie dabei nicht in jeder Hinsicht zu denselben Schlussfolgerungen gelangte wie die Staatsanwaltschaft, stellt mitnichten eine Verletzung des rechtlichen Gehörs dar. Die Anklagekammer als Beschwerdeinstanz ist nicht an die rechtliche Würdigung der Staatsanwaltschaft gebunden, sonst würde sich der Rechtsmittelweg erübrigen. Wenn die Anklagekammer weitgehend der Argumentation des Bezirksamtes gefolgt ist und sich nicht explizit zu jeder Erwägung der Staatsanwaltschaft geäussert hat, ist darin keine Verletzung des rechtlichen Gehörs zu erblicken.</w:t>
      </w:r>
    </w:p>
    <w:p>
      <w:r>
        <w:rPr>
          <w:b/>
        </w:rPr>
        <w:t>E. 3</w:t>
      </w:r>
    </w:p>
    <w:p>
      <w:r>
        <w:t>Der Vollständigkeit halber sei festgehalten, dass auf die Rügen nicht einzutreten ist, soweit die Beschwerdeführerin sinngemäss eine Verletzung von Bundesrecht ( Art. 28 StGB ) geltend macht, da mit staatsrechtlicher Beschwerde nur die Verletzung verfassungsmässiger Rechte geltend gemacht werden kann ( Art. 84 Abs. 1 lit. a OG ).</w:t>
      </w:r>
    </w:p>
    <w:p>
      <w:r>
        <w:rPr>
          <w:b/>
        </w:rPr>
        <w:t>E. 4</w:t>
      </w:r>
    </w:p>
    <w:p>
      <w:r>
        <w:t>Daraus ergibt sich, dass die Beschwerde abzuweisen ist, soweit darauf einzutreten ist. Bei diesem Verfahrensausgang trägt die Beschwerdeführerin die Verfahrenskosten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