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1P.60/2006 vom 15. Juni 2006</w:t>
      </w:r>
    </w:p>
    <w:p>
      <w:r>
        <w:t>Bundesgericht, 2006-06-15, FR</w:t>
      </w:r>
    </w:p>
    <w:p>
      <w:r>
        <w:rPr>
          <w:b/>
        </w:rPr>
        <w:t xml:space="preserve">Quelle: </w:t>
      </w:r>
      <w:r>
        <w:t>https://mcp.opencaselaw.ch/entscheid/bger_1P.60_2006</w:t>
      </w:r>
    </w:p>
    <w:p>
      <w:r>
        <w:t>FR: TF 1P.60/2006 du 15 juin 2006</w:t>
      </w:r>
    </w:p>
    <w:p>
      <w:r>
        <w:t>IT: TF 1P.60/2006 del 15 giugno 2006</w:t>
      </w:r>
    </w:p>
    <w:p>
      <w:pPr>
        <w:pStyle w:val="Heading2"/>
      </w:pPr>
      <w:r>
        <w:t>Regeste</w:t>
      </w:r>
    </w:p>
    <w:p>
      <w:r>
        <w:t>délimitation de tronçons de routes cantonales en traversée de localité | Construction des routes et circulation routière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w:t>
      </w:r>
    </w:p>
    <w:p>
      <w:r>
        <w:t>Les recourantes agissent par la voie du recours de droit public en relevant que les décisions du département les toucheraient comme n'importe quel particulier, puisqu'elles deviennent propriétaires des tronçons transférés et que leur responsabilité pourrait se trouver engagée de ce fait ( art. 58 CO ); elles se prévalent également de l'autonomie que leur reconnaît le droit cantonal dans la gestion du domaine public et du patrimoine communal.</w:t>
      </w:r>
    </w:p>
    <w:p>
      <w:r>
        <w:rPr>
          <w:b/>
        </w:rPr>
        <w:t>E. 2.1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 art. 84 al. 1 lettre a OJ ). De tels droits ne sont reconnus en principe qu'aux citoyens, à l'exclusion des collectivités publiques qui n'en sont pas titulaires. Cette règle s'applique aux cantons, aux communes et à leurs autorités, qui agissent en tant que détentrices de la puissance publique. La jurisprudence considère toutefois qu'il y a lieu de faire deux exceptions pour les communes et autres corporations de droit public. La première est admise lorsque la collectivité n'intervient pas en tant que détentrice de la puissance publique, mais qu'elle agit sur le plan du droit privé ou qu'elle est atteinte dans sa sphère privée de façon identique ou analogue à un particulier, notamment en sa qualité de propriétaire de biens frappés d'impôts ou de taxes, ou d'un patrimoine financier ou administratif. Une seconde exception est admise en faveur des communes lorsque, par la voie du droit public, elles se plaignent d'une violation de leur autonomie ( art. 50 Cst. ) ou d'une atteinte à leur existence ou à l'intégrité de leur territoire garanties par le droit cantonal. Les collectivités concernées peuvent aussi se prévaloir, à titre accessoire, de la violation de droits constitutionnels lorsque ces moyens sont en relation étroite avec la violation de leur autonomie ( ATF 131 I 91 consid. 1 p. 93; 129 I 313 consid. 4.1 p. 318; 125 I 173 consid. 1b p. 175; 121 I 218 consid. 2a et les arrêts cités).</w:t>
      </w:r>
    </w:p>
    <w:p>
      <w:r>
        <w:rPr>
          <w:b/>
        </w:rPr>
        <w:t>E. 2.2</w:t>
      </w:r>
    </w:p>
    <w:p>
      <w:r>
        <w:t>Les recourantes ne sauraient soutenir que les transferts de tronçons routiers opérés par le département les concerneraient comme n'importe quel particulier. En effet, si les tronçons en traversée de localité deviennent propriété des communes (art. 7 LRou), ils n'appartiennent pas pour autant au patrimoine administratif ou financier, mais sont du domaine public (cf. art. 1 LRou) dont la construction, l'entretien et l'usage est soumis en particulier au droit cantonal. Les communes concernées sont donc touchées en tant que détentrices de la puissance publique, soumises à l'obligation d'entretien qui incombe à l'Etat.</w:t>
      </w:r>
    </w:p>
    <w:p>
      <w:r>
        <w:rPr>
          <w:b/>
        </w:rPr>
        <w:t>E. 2.3</w:t>
      </w:r>
    </w:p>
    <w:p>
      <w:r>
        <w:t>Dans la mesure où elles dénoncent une violation de leur autonomie communale, les recourantes ont qualité pour agir par la voie du recours de droit public. Déterminer si, dans un domaine juridique particulier, les communes jouissent effectivement d'une autonomie, n'est pas une question de recevabilité, mais de fond ( ATF 128 I 3 consid. 1c p. 7; 124 I 223 consid. 1b p. 226 et les références citées).</w:t>
      </w:r>
    </w:p>
    <w:p>
      <w:r>
        <w:rPr>
          <w:b/>
        </w:rPr>
        <w:t>E. 2.4</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124 I 223 consid. 2b p. 226-227 et les arrêts cités). Lorsqu'elle est reconnue autonome dans un domaine spécifique, une commune peut se plaindre, par la voie du recours de droit public, d'un excès ou d'un abus du pouvoir d'appréciation ou d'une fausse application par l'autorité cantonale des normes de droit cantonal et communal régissant le domaine en cause. L'autonomie communale est également violée lorsque le canton empiète à tort dans un domaine protégé de celle-là par l'adoption, notamment, de normes générales et abstraites qui limitent ou suppriment une compétence communale ou qui règlent une question relevant de cette autonomie (cf. ATF 122 I 279 consid. 8c p. 291; 120 Ia 203 consid. 2a p. 204; 119 Ia 214 consid. 3a p. 218 et les arrêts cités). Les communes peuvent en outre jouir d'une autonomie protégée dans l'application du droit cantonal, si celui-ci leur laisse une liberté de décision relativement importante. Il faut toutefois que l'exécution, en première instance, des dispositions cantonales leur soit confiée et que la nature du domaine à régler se prête à une réglementation propre de la part des différentes communes ( ATF 119 Ia 214 consid. 3b p. 219).</w:t>
      </w:r>
    </w:p>
    <w:p>
      <w:r>
        <w:rPr>
          <w:b/>
        </w:rPr>
        <w:t>E. 2.5</w:t>
      </w:r>
    </w:p>
    <w:p>
      <w:r>
        <w:t>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 Cette disposition constitutionnelle a notamment pour but d'éviter au Tribunal fédéral de rechercher dans l'ensemble du droit cantonal si les communes disposent, dans un certain domaine, de pouvoirs de décision importants (Haldy, L'organisation territoriale et les communes, in: La Constitution vaudoise du 14 avril 2003, Berne 2004, p. 291-310, 295).</w:t>
      </w:r>
    </w:p>
    <w:p>
      <w:r>
        <w:rPr>
          <w:b/>
        </w:rPr>
        <w:t>E. 2.6</w:t>
      </w:r>
    </w:p>
    <w:p>
      <w:r>
        <w:t>Les décisions du département rendues les 15 juin, 10 août et 14 septembre 2005 portent uniquement sur la délimitation des tronçons de routes en traversée de localité. Les compétences générales des communes, s'agissant de la gestion du domaine public et de l'aménagement local du territoire, n'enlèvent rien au fait que, s'agissant spécifiquement de l'acte préalable de délimitation des tronçons de routes cantonales en traversée de localité, la compétence appartient exclusivement au département cantonal selon l'art. 3 al. 4 LRou. Les communes auront certes la gestion de ces tronçons supplémentaires (art. 3 al. 4 LRou), mais, selon le droit cantonal, elles n'ont aucun droit de déterminer librement, ou de participer à l'acte de détermination de ces tronçons, lequel appartient à l'autorité cantonale. Dans ce cadre, les communes ne disposent que d'un droit d'être entendues, qui a pu être exercé en l'occurrence. L'augmentation des charges d'entretien, qui découle de l'accroissement des tronçons concernés, aura certes une incidence sur les finances des communes, mais cela ne leur permet pas pour autant de se prévaloir de leur autonomie (cf. arrêt 2P.203/2004 du 1er décembre 2005). En effet, celle-ci ne peut être invoquée en matière de subventions ou de charges financières décidées par le canton ( ATF 113 Ia 336 consid. 1b p. 339). Il n'en va différemment que lorsque la commune se plaint d'une violation de son droit à l'existence, soit lorsque la mesure litigieuse aurait pour effet de déséquilibrer complètement ses finances, au point de compromettre son existence même (ATF 115 Ia consid. 5d/aa p. 54; cf. aussi ATF 131 I 91 consid. 1 p. 93 concernant le droit à l'existence). Les recourantes n'allèguent toutefois rien de tel.</w:t>
      </w:r>
    </w:p>
    <w:p>
      <w:r>
        <w:rPr>
          <w:b/>
        </w:rPr>
        <w:t>E. 2.7</w:t>
      </w:r>
    </w:p>
    <w:p>
      <w:r>
        <w:t>Le grief de violation de l' art. 50 Cst. doit par conséquent être rejeté, et les moyens tirés du droit d'être entendu et de l'interdiction de l'arbitraire n'ont pas à être examinés.</w:t>
      </w:r>
    </w:p>
    <w:p>
      <w:r>
        <w:rPr>
          <w:b/>
        </w:rPr>
        <w:t>E. 3</w:t>
      </w:r>
    </w:p>
    <w:p>
      <w:r>
        <w:t>Sur le vu de ce qui précède, le recours de droit public est rejeté. Conformément à l' art. 156 al. 2 OJ , il n'est pas perçu d'émolument judiciaire. Selon l' art. 159 al. 2 OJ , il n'est pas alloué de dépens aux autorités qui obtiennent gain de cause, que celles-ci agissent par leurs propres services ou - comme l'a fait le département en l'occurrence - par un avocat indépendant.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