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1P.598/2006 vom 21. November 2006</w:t>
      </w:r>
    </w:p>
    <w:p>
      <w:r>
        <w:t>Bundesgericht, 2006-11-21, DE</w:t>
      </w:r>
    </w:p>
    <w:p>
      <w:r>
        <w:rPr>
          <w:b/>
        </w:rPr>
        <w:t xml:space="preserve">Quelle: </w:t>
      </w:r>
      <w:r>
        <w:t>https://mcp.opencaselaw.ch/entscheid/bger_1P.598_2006</w:t>
      </w:r>
    </w:p>
    <w:p>
      <w:r>
        <w:t>FR: TF 1P.598/2006 du 21 novembre 2006</w:t>
      </w:r>
    </w:p>
    <w:p>
      <w:r>
        <w:t>IT: TF 1P.598/2006 del 21 novembre 2006</w:t>
      </w:r>
    </w:p>
    <w:p>
      <w:pPr>
        <w:pStyle w:val="Heading2"/>
      </w:pPr>
      <w:r>
        <w:t>Erwägungen</w:t>
      </w:r>
    </w:p>
    <w:p>
      <w:r>
        <w:rPr>
          <w:b/>
        </w:rPr>
        <w:t>E. 1.1</w:t>
      </w:r>
    </w:p>
    <w:p>
      <w:r>
        <w:t>Nach der Praxis des Bundesgerichts ist der durch eine angeblich strafbare Handlung Geschädigte grundsätzlich nicht legitimiert, gegen die Nichteröffnung oder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120 Ia 101 E. 1a S. 102).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Er kann beispielsweise geltend machen, auf ein Rechtsmittel sei zu Unrecht nicht eingetreten worden, er sei nicht angehört worden, habe keine Gelegenheit erhalten, Beweisanträge zu stellen, oder habe nicht Akteneinsicht nehmen können (vgl. BGE 128 I 218 E. 1.1 S. 219 f.).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S. 160 mit Hinweisen). Etwas anderes gilt für das Opfer im Sinne von Art. 2 Abs. 1 OHG (vgl. BGE 120 Ia 157 E. 2c S. 161 f.).</w:t>
      </w:r>
    </w:p>
    <w:p>
      <w:r>
        <w:t>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S. 219 f. mit Hinweisen).</w:t>
      </w:r>
    </w:p>
    <w:p>
      <w:r>
        <w:rPr>
          <w:b/>
        </w:rPr>
        <w:t>E. 1.2</w:t>
      </w:r>
    </w:p>
    <w:p>
      <w:r>
        <w:t>Gemäss Art. 2 Abs. 1 OHG ist Opfer, wer durch eine Straftat in seiner körperlichen, sexuellen oder psychischen Integrität unmittelbar beeinträchtigt worden ist. Nach der Rechtsprechung muss die Beeinträchtigung von einem gewissen Gewicht sein; ob dies der Fall sei, hängt von den gesamten konkreten Umständen ab.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129 IV 95 E.3.1, 128 I 218 E. 1.2 S. 220 f., 125 II 265 E. 2a/aa, mit Hinweisen).</w:t>
      </w:r>
    </w:p>
    <w:p>
      <w:r>
        <w:t>Ob die Opferstellung gegeben sei, prüft das Bundesgericht mit freier Kognition ( BGE 120 Ia 157 E. 2d mit Hinweis).</w:t>
      </w:r>
    </w:p>
    <w:p>
      <w:r>
        <w:rPr>
          <w:b/>
        </w:rPr>
        <w:t>E. 1.3</w:t>
      </w:r>
    </w:p>
    <w:p>
      <w:r>
        <w:t>Dr. med. A.________ stellte in seinem ärztlichen Attest vom 2. Juni 2005 eine Schwellung des Ringfingers der linken Hand mit einem Bluterguss über dem Handrücken auf Höhe Ring- und Kleinfinger fest. Dr. med. B.________ verordnete am 7. Juni 2005 Handbäder. Diese ärztlichen Begutachtungen zeigen, dass die durch den Beschwerdegegner verursachte Tätlichkeit von geringer Tragweite war. Es wird vom Beschwerdeführer nicht dargetan und ist nicht ersichtlich, dass sie zu einer nicht unerheblichen psychischen Beeinträchtigung geführt hat. Daran vermag der Umstand nichts zu ändern, dass zur Abklärung eine Röntgenaufnahme gemacht worden ist und der Beschwerdeführer seinen Arzt noch mehrmals aufgesucht hat. Gesamthaft ergibt sich daraus, dass der Beschwerdeführer nicht als Opfer im Sinne von Art. 2 Abs. 1 OHG betrachtet werden kann.</w:t>
      </w:r>
    </w:p>
    <w:p>
      <w:r>
        <w:t>Bei dieser Sachlage ist der Beschwerdeführer zur Rüge von materiellrechtlichen Fragen nicht legitimiert. Insoweit kann auf die Beschwerde nicht eingetreten werden.</w:t>
      </w:r>
    </w:p>
    <w:p>
      <w:r>
        <w:rPr>
          <w:b/>
        </w:rPr>
        <w:t>E. 1.4</w:t>
      </w:r>
    </w:p>
    <w:p>
      <w:r>
        <w:t>Der Beschwerdeführer hält die Durchführung des Untersuchungsverfahrens insbesondere hinsichtlich der Befragung von Frau Dr. med. vet. C.________ für suspekt. Indessen bringt er in dieser Hinsicht keine Rügen vor, die den Anforderungen von Art. 90 Abs. 1 lit. b OG genügen würden. Auf die Beschwerde kann daher auch in diesem Punkte nicht eingetreten werden.</w:t>
      </w:r>
    </w:p>
    <w:p>
      <w:r>
        <w:rPr>
          <w:b/>
        </w:rPr>
        <w:t>E. 2</w:t>
      </w:r>
    </w:p>
    <w:p>
      <w:r>
        <w:t>Demnach ist auf die Beschwerde nicht einzutreten. Bei diesem Ausgang des Verfahrens hat der Beschwerdeführer die bundesgerichtlichen Kosten zu tragen ( Art. 156 OG ) und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