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1P.583/2001 vom 11. Dezember 2001</w:t>
      </w:r>
    </w:p>
    <w:p>
      <w:r>
        <w:t>Bundesgericht, 2001-12-11, DE</w:t>
      </w:r>
    </w:p>
    <w:p>
      <w:r>
        <w:rPr>
          <w:b/>
        </w:rPr>
        <w:t xml:space="preserve">Quelle: </w:t>
      </w:r>
      <w:r>
        <w:t>https://mcp.opencaselaw.ch/entscheid/bger_1P.583_2001</w:t>
      </w:r>
    </w:p>
    <w:p>
      <w:r>
        <w:t>FR: TF 1P.583/2001 du 11 décembre 2001</w:t>
      </w:r>
    </w:p>
    <w:p>
      <w:r>
        <w:t>IT: TF 1P.583/2001 del 11 dicembre 2001</w:t>
      </w:r>
    </w:p>
    <w:p>
      <w:pPr>
        <w:pStyle w:val="Heading2"/>
      </w:pPr>
      <w:r>
        <w:t>Regeste</w:t>
      </w:r>
    </w:p>
    <w:p>
      <w:r>
        <w:t>Strafprozess</w:t>
      </w:r>
    </w:p>
    <w:p>
      <w:pPr>
        <w:pStyle w:val="Heading2"/>
      </w:pPr>
      <w:r>
        <w:t>Erwägungen</w:t>
      </w:r>
    </w:p>
    <w:p>
      <w:r>
        <w:rPr>
          <w:b/>
        </w:rPr>
        <w:t>E. 1</w:t>
      </w:r>
    </w:p>
    <w:p>
      <w:r>
        <w:t>Der Beschwerdeführer hat gegen den angefochtenen Entscheid gleichzeitig eine Nichtigkeitsbeschwerde und eine staatsrechtliche Beschwerde eingereicht. Für die Beurteilung dieser beiden Rechtsmittel ist grundsätzlich der Kassationshof des Bundesgerichts zuständig (Art. 7 Ziff. 1 und 2 des Reglements für das Schweizerische Bundesgericht; SR 173. 111.1). Entgegen dieser Regelung ist die vorliegende staatsrechtliche Beschwerde von der I. öffentlichrechtlichen Abteilung des Bundesgerichts zu beurteilen, da hier zwei weitere staatsrechtliche Beschwerden mit identischem Wortlaut rechtshängig sind (Art. 8 Abs. 2 des Reglements).</w:t>
      </w:r>
    </w:p>
    <w:p>
      <w:r>
        <w:rPr>
          <w:b/>
        </w:rPr>
        <w:t>E. 2</w:t>
      </w:r>
    </w:p>
    <w:p>
      <w:r>
        <w:t>Der Beschwerdeführer rügt eine Verletzung des Grundsatzes "in dubio pro reo". a) Gemäss Art. 32 Abs. 1 BV sowie Art. 6 Ziff. 2 EMRK gilt jede angeschuldigte Person bis zur rechtskräftigen Verurteilung als unschuldig. Die Maxime "in dubio pro reo" ist ein Aspekt der Unschuldsvermutung ( BGE 120 Ia 31 E. 2b S. 35). Als Beweislastregel bedeutet die Maxime, dass es Sache der Anklagebehörde ist, die Schuld des Angeklagten zu beweisen, und nicht dieser seine Unschuld nachweisen muss. Die Maxime ist verletzt, wenn der Strafrichter einen Angeklagten (einzig)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 BGE 127 I 38 E. 2a S. 40; 120 Ia 31 E. 2c S. 37). Als Beweiswürdigungsregel besagt der Grundsatz,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ganzen Beweisergebnisses offensichtlich erhebliche und schlechterdings nicht zu unterdrückende Zweifel an dessen Schuld fortbestanden ( BGE 127 I 38 E. 2a S. 41; 124 IV 86 E. 2a S. 88; 120 Ia 31 E. 2c und d S. 37 f.). b) Der Beschwerdeführer macht ausdrücklich eine Verletzung des Grundsatzes "in dubio pro reo" als Beweislastregel geltend. aa) Soweit er in diesem Zusammenhang zu behaupten scheint, das Obergericht habe Art. 288 aStGB fehlerhaft angewendet, hätte er dies mit einer Nichtigkeitsbeschwerde gemäss Art. 268 ff. BStP rügen müssen. Insofern ist auf die staatsrechtliche Beschwerde nicht einzutreten ( Art. 84 Abs. 2 OG ). bb) Im Übrigen sind die Vorbringen des Beschwerdeführers offensichtlich nicht geeignet darzutun, dass das Obergericht ihn lediglich verurteilte, weil er seine Unschuld nicht beweisen konnte. Er beanstandet im Wesentlichen, dass das Obergericht gestützt auf die Angaben der angeschuldigten Telecom-Angestellten das Bestehen eines Netzwerkes und einer Provisionsabsprache angenommen und seine eigenen Einwendungen als nicht stichhaltig verworfen habe; den Beweis einer vorgängigen Absprache sei das Obergericht jedoch schuldig geblieben. Diese Ausführungen betreffen indes nicht Fragen der Beweislast. Sie richten sich vielmehr gegen einzelne Teilergebnisse des Beweisverfahrens und damit gegen die Beweiswürdigung als solche. Darauf ist nachfolgend (E. 1c) einzugehen. Die Beschwerde erweist sich demnach hinsichtlich der behaupteten Verletzung des Grundsatzes "in dubio pro reo" als Beweislastregel als unbegründet, soweit sie den Anforderungen von Art. 90 Abs. 1 lit. b OG ( BGE 127 I 38 E. 3c S. 43, 125 I 492 E. 1b S. 495, je mit Hinweisen) überhaupt zu genügen vermag. c) aa) Nach Auffassung des Beschwerdeführers hat das Obergericht die Beweise willkürlich gewürdigt und falsche Annahmen getroffen. Es habe interne Absprachen der Telecom-Angestellten A._______, B.________ und C.________, welche diese im Rahmen der von ihnen betriebenen ZII. ________ AG getroffen hatten, unbesehen auf aussenstehende Dritte übertragen und gestützt darauf angenommen, dass ein Netzwerk sowie eine "flächendeckende" Provisionsabsprache bestanden habe. Eine solche Absprache unter allen Beteiligten sei jedoch nicht klar und eindeutig bewiesen. Während das Obergericht Eingeständnisse der Telecom-Mitarbeiter als glaubhaft bezeichne, habe es die Gegenargumente weiterer Angeschuldigter mit willkürlicher Begründung verworfen. Es treffe zu, dass für bestimmte Aufträge der Telecom 10% des Auftragsvolumens an die Y.________ AG bezahlt wurden, doch seien diese Überweisungen aufgrund von Einzelabsprachen erfolgt und hätten mit einer generellen Provisionierung nichts zu tun. bb) Im angefochtenen Entscheid hat sich das Obergericht einlässlich mit den vom Beschwerdeführer und weiteren Angeschuldigten erbrachten Zahlungen an die Y.________ AG auseinandergesetzt. Es kommt zum Schluss, dass die fraglichen Überweisungen auf der Basis einer vorgängigen Provisionsabsprache erfolgt seien. Zur Begründung weist es darauf hin, der Beschwerdeführer und die mit ihm angeschuldigten E.________ und D.________ hätten von sich aus auf eine Sitzung vom 29. April 1995 in Egerkingen hingewiesen, an welcher zusammen mit A.________ der Aufbau eines Netzwerkes besprochen worden sei. Den Angaben von A.________, B.________ und C.________ zufolge sei sowohl dem Beschwerdeführer als auch E.________ und D.________ bekannt gewesen, dass die von den Auftragnehmern an die Y.________ AG überwiesenen Gelder für die drei Telecom-Mitarbeiter bestimmt seien. Für das Bestehen einer Provisionsabsprache spreche zudem der Bericht über die Aktionärsversammlung der ZII. ________ AG vom 12. Juli 1995, eine von C.________ am 17. Juli 1995 verfasste Zusammenstellung der vorzunehmenden Provisionsbezüge sowie der Umstand, dass die Aufträge der Telecom an die beteiligten Firmen nach der Gründung der ZII. ________ AG und der Zusammenkunft vom 29. April 1995 schlagartig zugenommen hätten. Die Aussagen der Angeschuldigten seien nicht geeignet, die sie belastenden Beweismittel zu entkräften. cc) Diese Erwägungen sind verfassungsrechtlich nicht zu beanstanden. Das Obergericht hat sich im Beweisverfahren zu Recht nicht darauf beschränkt, das Handeln aller Beteiligten individuell zu würdigen, sondern hat deren Verhalten in einen Gesamtzusammenhang gestellt. Dabei hat es nicht nur die Aussagen der an den fraglichen Geschäften partizipierenden Personen, sondern auch die greifbaren schriftlichen Unterlagen in die Beweiswürdigung miteinbezogen. Entgegen den Vorbringen des Beschwerdeführers hat es die von den Telecom-Angestellten im Rahmen der ZII. ________ AG getroffenen internen Absprachen adäquat gewichtet. Sodann hat es sich in der schriftlichen Urteilsbegründung über zwölf Seiten hinweg mit den Einwendungen des Beschwerdeführers sowie der Angeschuldigten D.________ und E.________ auseinandergesetzt. Auf jene umfangreichen und schlüssigen Ausführungen kann an dieser Stelle verwiesen werden. Wenn das Obergericht im angefochtenen Entscheid namentlich festhält, für die Zahlungen sei ein realer Hintergrund nicht ersichtlich und sie stellten kein Entgelt für allfällige Unteraufträge der Auftragnehmer an die Y.________ AG dar, hat es die Beweise nicht offensichtlich falsch oder einseitig gewürdigt. Die Vorbringen des Beschwerdeführers vermögen daran nichts zu ändern. Er selber hat die markante Zunahme von Aufträgen der Telecom an die F.________ Marketing, die ZI.________ AG und die X.________ AG ab 29. April 1995 nicht bestritten. Dieser Umstand stellt zweifellos ein gewichtiges Indiz für das Bestehen einer Provisionsabrede dar, und dies selbst dann, wenn nicht für sämtliche Aufträge, sondern bloss für einzelne davon Provisionszahlungen geleistet wurden. Die Einwände des Beschwerdeführers schlagen unter diesen Umständen fehl.</w:t>
      </w:r>
    </w:p>
    <w:p>
      <w:r>
        <w:rPr>
          <w:b/>
        </w:rPr>
        <w:t>E. 3</w:t>
      </w:r>
    </w:p>
    <w:p>
      <w:r>
        <w:t>Aus den dargestellten Gründen ist die staatsrechtliche Beschwerde abzuweisen, soweit auf sie eingetreten werden kann. Bei diesem Ausgang des bundesgerichtlichen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