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1P.571/2000 vom 16. November 2000</w:t>
      </w:r>
    </w:p>
    <w:p>
      <w:r>
        <w:t>Bundesgericht, 2000-11-16, DE</w:t>
      </w:r>
    </w:p>
    <w:p>
      <w:r>
        <w:rPr>
          <w:b/>
        </w:rPr>
        <w:t xml:space="preserve">Quelle: </w:t>
      </w:r>
      <w:r>
        <w:t>https://mcp.opencaselaw.ch/entscheid/bger_1P.571_2000</w:t>
      </w:r>
    </w:p>
    <w:p>
      <w:r>
        <w:t>FR: TF 1P.571/2000 du 16 novembre 2000</w:t>
      </w:r>
    </w:p>
    <w:p>
      <w:r>
        <w:t>IT: TF 1P.571/2000 del 16 novembre 2000</w:t>
      </w:r>
    </w:p>
    <w:p>
      <w:pPr>
        <w:pStyle w:val="Heading2"/>
      </w:pPr>
      <w:r>
        <w:t>Regeste</w:t>
      </w:r>
    </w:p>
    <w:p>
      <w:r>
        <w:t>Politische Rechte</w:t>
      </w:r>
    </w:p>
    <w:p>
      <w:pPr>
        <w:pStyle w:val="Heading2"/>
      </w:pPr>
      <w:r>
        <w:t>Erwägungen</w:t>
      </w:r>
    </w:p>
    <w:p>
      <w:r>
        <w:rPr>
          <w:b/>
        </w:rPr>
        <w:t>E. 1</w:t>
      </w:r>
    </w:p>
    <w:p>
      <w:r>
        <w:t>Der Beschwerdeführer erhebt in materieller Hinsicht Stimmrechtsbeschwerde im Sinne von Art. 85 lit. a OG . Vorerst ist zu prüfen, ob diese Beschwerde zulässig ist. Nach Art. 85 lit. a OG beurteilt das Bundesgericht Beschwerden betreffend die politische Stimmberechtigung der Bürger und betreffend Wahlen und Abstimmungen. Erforderlich für die Zulässigkeit der Stimmrechtsbeschwerde ist eine Betroffenheit in den politischen Rechten der Stimmbürger selber. Hingegen liegt von vornherein keine Verletzung der politischen Rechte im Sinne des Organisationsgesetzes vor, sofern den Parlamentsbetrieb betreffende Massnahmen oder Vorschriften organisatorischer Natur einer Behörde oder eines Wahlkörpers in Frage stehen ( BGE 112 Ia 174 E. 2 S. 176, 123 I 41 E. 6b S. 46, 121 I 252 E. 1a S. 255, ZBl 2000/1999 S. 483 E. 1b; vgl. auch Christoph Hiller, Die Stimmrechtsbeschwerde, Diss. Zürich 1990, S. 95 f.). Aus diesen Gründen ist die Stimmrechtsbeschwerde etwa gegen indirekte, von einem Wahlkörper wie einem Parlament vorgenommene Wahlen nicht zulässig ( BGE 112 Ia 174 E. 2 S. 176, 108 Ia 281 E. 1 S. 282, ZBl 95/1994 S. 366 E. 1a). Im vorliegenden Fall soll mit Art. 43bis der Gemeindeordnung für bestimmte Ausgabenbeschlüsse ein qualifiziertes Mehr im Gemeinderat eingeführt werden. Diese Massnahme greift nicht direkt in die politischen Rechte der Stimmbürger ein, sondern beeinflusst allein die Beschlussfassung im Gemeinderat. Es kann auch nicht von einer indirekten rechtlichen Auswirkung auf die politischen Rechte der Stimmbürger gesprochen werden. Denn die Frage, ob sich das Stimmvolk etwa zu einem allfälligen Kredit aussprechen kann, ist allein davon abhängig, ob ein entsprechender Be-schluss im Gemeinderat gültig zu Stande kommt. Schliesslich kann sich der Beschwerdeführer auch als Mitglied des Gemeinderates nicht auf die politischen Rechte im Sinne von Art. 85 lit. a OG berufen (vgl. Hiller, a.a.O., S. 289). Aus diesen Gründen ist die Stimmrechtsbeschwerde nach Art. 85 lit. a OG nicht zulässig und demnach auf die vorliegende Beschwerde in diesem Punkte nicht einzutreten.</w:t>
      </w:r>
    </w:p>
    <w:p>
      <w:r>
        <w:rPr>
          <w:b/>
        </w:rPr>
        <w:t>E. 2</w:t>
      </w:r>
    </w:p>
    <w:p>
      <w:r>
        <w:t>Auflage 1999, Rz. 29 ff. zu § 28). In Anbetracht der bundesgerichtlichen Rechtsprechung, wonach eine Verletzung des rechtlichen Gehörs durch eine untere Instanz im Verfahren der oberen ausnahmsweise geheilt werden kann (vgl. BGE 126 I 68 E. 2 S. 72; 126 V 130 E. 2b i.f. S. 132), hat der Beschwerdeführer keinen unbedingten Anspruch darauf, dass seine rechtlichen Vorbringen durch zwei Instanzen mit voller Kognition geprüft werden.</w:t>
      </w:r>
    </w:p>
    <w:p>
      <w:r>
        <w:rPr>
          <w:b/>
        </w:rPr>
        <w:t>E. 3</w:t>
      </w:r>
    </w:p>
    <w:p>
      <w:r>
        <w:t>Demnach ist die staatsrechtliche Beschwerde abzuweisen, soweit darauf eingetreten werden kann. Bei diesem Ausgang des Verfahrens und in Anbetracht des Umstandes, dass keine Stimmrechtsbeschwerde vorliegt,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