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1P.569/2001 vom 17. Oktober 2001</w:t>
      </w:r>
    </w:p>
    <w:p>
      <w:r>
        <w:t>Bundesgericht, 2001-10-17, DE</w:t>
      </w:r>
    </w:p>
    <w:p>
      <w:r>
        <w:rPr>
          <w:b/>
        </w:rPr>
        <w:t xml:space="preserve">Quelle: </w:t>
      </w:r>
      <w:r>
        <w:t>https://mcp.opencaselaw.ch/entscheid/bger_1P.569_2001</w:t>
      </w:r>
    </w:p>
    <w:p>
      <w:r>
        <w:t>FR: TF 1P.569/2001 du 17 octobre 2001</w:t>
      </w:r>
    </w:p>
    <w:p>
      <w:r>
        <w:t>IT: TF 1P.569/2001 del 17 ottobre 2001</w:t>
      </w:r>
    </w:p>
    <w:p>
      <w:pPr>
        <w:pStyle w:val="Heading2"/>
      </w:pPr>
      <w:r>
        <w:t>Erwägungen</w:t>
      </w:r>
    </w:p>
    <w:p>
      <w:r>
        <w:rPr>
          <w:b/>
        </w:rPr>
        <w:t>E. 1</w:t>
      </w:r>
    </w:p>
    <w:p>
      <w:r>
        <w:t>a) Beim angefochtenen Entscheid handelt es sich um einen selbständig eröffneten Zwischenentscheid im Sinn von Art. 87 Abs. 2 OG , gegen den die staatsrechtliche Beschwerde nur zulässig ist, wenn er einen nicht wiedergutzumachenden Nachteil rechtlicher Natur bewirken kann. Ein solcher Nachteil ist durch die Verweigerung der unentgeltlichen Rechtspflege und Verbeiständung in aller Regel zu bejahen; so insbesondere, wenn dem Gericht oder dem Anwalt innert kurzer Frist ein Kostenvorschuss geleistet werden muss, wie es hier der Fall ist ( BGE 126 I 207 E. 2a; 111 Ia 276 E. 2, 99 Ia 437 E. 2). Die vorliegende staatsrechtliche Beschwerde ist somit grundsätzlich zulässig.</w:t>
      </w:r>
    </w:p>
    <w:p>
      <w:r>
        <w:t>b) Die staatsrechtliche Beschwerde ist, abgesehen von hier nicht zutreffenden Ausnahmen, rein kassatorischer Natur. Soweit der Beschwerdeführer mehr als die Aufhebung des angefochtenen Entscheids verlangt, kann auf seine Beschwerde nicht eingetreten werden ( BGE 125 II 86 E. 5a S. 96 mit Hinweisen).</w:t>
      </w:r>
    </w:p>
    <w:p>
      <w:r>
        <w:rPr>
          <w:b/>
        </w:rPr>
        <w:t>E. 2</w:t>
      </w:r>
    </w:p>
    <w:p>
      <w:r>
        <w:t>Der Beschwerdeführer rügt, der Kantonsgerichtspräsident habe die unentgeltliche Rechtspflege und Rechtsverbeiständung zu Unrecht mit der Begründung abgewiesen, seine Beschwerde sei aussichtslos. Der angefochtene Entscheid verletze daher Art. 8, 9 und 29 Abs. 3 BV , Art. 6 Ziff. 1 EMRK sowie Art. 53 des Gerichtsorganisationsgesetzes des Kantons Appenzell I.Rh. vom 25. April 1999 (GOG/AI).</w:t>
      </w:r>
    </w:p>
    <w:p>
      <w:r>
        <w:t>a) Der Anspruch auf unentgeltliche Rechtspflege ergibt sich als Minimalgarantie direkt aus Art. 29 Abs. 3 BV ( Art. 4 aBV ), soweit das kantonale Recht keine weiter gehende Ansprüche gewährt ( BGE 124 I 304 E. 2a S. 306). Der Beschwerdeführer macht nicht geltend und es ist auch nicht ersichtlich, dass der in Art. 53 GOG/AI verankerte Anspruch auf unentgeltliche Rechtspflege weiter gehe als der bundesrechtliche Minimalanspruch. Die Prüfung kann sich daher vorliegend darauf beschränken, ob der Kantonsgerichtspräsident den direkt aus Art. 29 Abs. 3 BV hergeleiteten Anspruch auf unentgeltliche Rechtspflege und Rechtsverbeiständung verletzt hat. Insoweit steht dem Bundesgericht freie Kognition zu ( BGE 124 I 1 E. 2 S. 2, 304 E. 2a S. 306).</w:t>
      </w:r>
    </w:p>
    <w:p>
      <w:r>
        <w:t>Der Rüge der Verletzung des Willkürverbots ( Art. 9 BV ) kommt daneben keine eigenständige Bedeutung zu. Auch aus dem vom Beschwerdeführer angerufenen Recht auf Zugang zu einem Gericht nach Art. 6 Ziff. 1 EMRK ergeben sich keine weiter gehenden Ansprüche auf unentgeltliche Rechtspflege als aus der Bundesverfassung (vgl. Mark E. Villiger, Handbuch der Europäischen Menschenrechtskonvention, 2.A. Zürich 1999, Rz. 433 mit Hinweisen).</w:t>
      </w:r>
    </w:p>
    <w:p>
      <w:r>
        <w:t>b) Als aussichtslos sind nach der Rechtsprechung Prozessbegehren anzusehen, bei denen die Gewinnchancen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 BGE 124 I 304 E. 2c S. 306).</w:t>
      </w:r>
    </w:p>
    <w:p>
      <w:r>
        <w:t>c) Der Beschwerdeführer begründete seine gegen die Strafvollzugsverfügung gerichtete Beschwerde an das Kantonsgericht zunächst damit, dass er beim EGMR eine Beschwerde gegen das Urteil des Bundesgerichts vom 30. April 1998 eingereicht habe. Ferner seien die Vorbereitungen für ein Revisionsgesuch gegen das Strafurteil weit fortgeschritten.</w:t>
      </w:r>
    </w:p>
    <w:p>
      <w:r>
        <w:t>Es hätte aus diesen Gründen ein Strafaufschub gewährt werden müssen.</w:t>
      </w:r>
    </w:p>
    <w:p>
      <w:r>
        <w:t>Nach Art. 159 der Strafprozessordnung des Kantons Appenzell I.Rh. vom 27. April 1986 (StPO/AI) werden Urteile vollstreckbar, wenn sie nicht mit kantonaler Berufung angefochten werden können bzw. die Frist zur Berufung oder zur Einsprache unbenutzt abgelaufen ist, oder wenn bei anderen Rechtsbehelfen keine aufschiebende Wirkung besteht. Eine vollstreckbare Freiheitsstrafe ist sofort zu vollziehen, wenn Fluchtgefahr besteht ( Art. 160 Abs. 1 StPO /AI). In den übrigen Fällen erlässt der Landesfähnrich einen Strafantrittsbefehl.</w:t>
      </w:r>
    </w:p>
    <w:p>
      <w:r>
        <w:t>Wenn besondere Umstände es erfordern, kann er einen Strafaufschub bewilligen ( Art. 160 Abs. 2 StPO /AI).</w:t>
      </w:r>
    </w:p>
    <w:p>
      <w:r>
        <w:t>Art. 40 Abs. 1 StGB erlaubt sodann eine Unterbrechung des Strafvollzugs nur aus wichtigen Gründen.</w:t>
      </w:r>
    </w:p>
    <w:p>
      <w:r>
        <w:t>Der Kantonsgerichtspräsident erwog, die Beschwerde an den EGMR habe keine aufschiebende Wirkung und hemme die Vollstreckbarkeit des innerstaatlichen Strafurteils nicht.</w:t>
      </w:r>
    </w:p>
    <w:p>
      <w:r>
        <w:t>Auch das in Aussicht gestellte Revisionsgesuch vermöge nach Art. 152 StPO /AI die Vollstreckbarkeit nicht zu hemmen. Die geltend gemachten Gründe könnten unter den vorliegend gegebenen Umständen "nur unwahrscheinlich als wichtiger Grund für einen weiteren Strafaufschub gelten".</w:t>
      </w:r>
    </w:p>
    <w:p>
      <w:r>
        <w:t>Es ist offensichtlich nicht zu beanstanden, dass der Kantonsgerichtspräsident die Beschwerde aufgrund dieser Erwägungen und angesichts der Ausführungen der Standeskommission im Entscheid vom 20. März 2001, auf die verwiesen werden kann, als aussichtslos qualifizierte, soweit sie sich dagegen richtet, dass die Standeskommission besondere Umstände für einen weiteren Strafaufschub ( Art. 160 Abs. 2 StPO /AI) und wichtige Gründe für eine Unterbrechung des Strafvollzugs ( Art. 40 StGB ) verneinte. Der Beschwerdeführer bringt nichts vor und es ist nicht ersichtlich, inwiefern der Kantonsgerichtspräsident damit Art. 29 Abs. 3 BV verletzt haben soll.</w:t>
      </w:r>
    </w:p>
    <w:p>
      <w:r>
        <w:t>d) Der Beschwerdeführer macht ferner geltend, der Kantonsgerichtspräsident habe seinen Eventualantrag, ihn nach Art. 37 Ziff. 2 Abs. 2 StGB in eine Anstalt für Erstmalige einzuweisen, zu Unrecht als aussichtslos qualifiziert.</w:t>
      </w:r>
    </w:p>
    <w:p>
      <w:r>
        <w:t>Entgegen den Ausführungen des Kantonsgerichtspräsidenten habe er, der Beschwerdeführer, vor Kantonsgericht bestritten, dass es sich bei ihm um einen Rückfälligen handle; andernfalls wäre es sinnwidrig gewesen, Art. 37 Ziff. 2 Abs. 2 StGB anzurufen. Auch die Annahme, die Einweisung in eine solche Anstalt sei wegen Fluchtgefahr ausgeschlossen, entbehre jeder tatsächlichen und rechtlichen Grundlage.</w:t>
      </w:r>
    </w:p>
    <w:p>
      <w:r>
        <w:t>Nach Art. 37 Ziff. 2 Abs. 2 StGB ist der Verurteilte, der innerhalb der letzten fünf Jahre vor der Tat weder eine Zuchthausstrafe noch eine Gefängnisstrafe von mehr als drei Monaten verbüsst hat und noch nie in eine Anstalt gemäss Art. 42 oder 91 Ziff. 1 (StGB) eingewiesen war, in eine Anstalt für Erstmalige einzuweisen; er kann in eine andere Anstalt eingewiesen werden, wenn besondere Umstände wie Gemeingefährlichkeit, ernsthafte Fluchtgefahr oder besondere Gefahr der Verleitung anderer zu strafbaren Handlungen vorliegen.</w:t>
      </w:r>
    </w:p>
    <w:p>
      <w:r>
        <w:t>Der Kantonsgerichtspräsident ging im angefochtenen Entscheid davon aus, es handle sich beim Beschwerdeführer gemäss den unbestritten gebliebenen tatsächlichen Ausführungen der Standeskommission um einen Rückfälligen.</w:t>
      </w:r>
    </w:p>
    <w:p>
      <w:r>
        <w:t>Indessen hatte die Standeskommission im Entscheid vom 20. März 2001 nicht erwogen und ist auch nicht ersichtlich, dass es sich beim Beschwerdeführer um einen Rückfälligen im Sinne des Gesetzes handeln würde.</w:t>
      </w:r>
    </w:p>
    <w:p>
      <w:r>
        <w:t>Das Bundesgericht hebt einen kantonalen Entscheid indessen nicht auf, wenn sich nur die Begründung des angefochtenen Entscheids als unhaltbar erweist. Dessen Aufhebung rechtfertigt sich nur, wenn er auch im Ergebnis verfassungswidrig ist ( BGE 117 Ia 135 E. 2c, 112 Ia 129 E. 3c S. 135 mit Hinweisen).</w:t>
      </w:r>
    </w:p>
    <w:p>
      <w:r>
        <w:t>Die Standeskommission hatte erwogen, aufgrund des bisherigen Verhaltens des Beschwerdeführers bestehe eine ernsthafte Fluchtgefahr im Sinne von Art. 37 Ziff. 2 Abs. 2 StGB ; der Beschwerdeführer habe sich durch Untertauchen während rund zwei Jahren und vier Monaten dem Vollzug der Freiheitsstrafe entzogen; es rechtfertige sich deshalb, vom Strafvollzug in einer Erstmaligen-Anstalt wegen erneuter Fluchtgefahr abzusehen.</w:t>
      </w:r>
    </w:p>
    <w:p>
      <w:r>
        <w:t>Der Beschwerdeführer bringt im Verfahren vor Kantonsgericht, wie auch im vorliegenden Verfahren, nichts vor, was diese Ausführungen als gesetzwidrig erscheinen liesse.</w:t>
      </w:r>
    </w:p>
    <w:p>
      <w:r>
        <w:t>Insbesondere beschränkten sich seine Vorbringen vor Kantonsgericht, er sei gar nie untergetaucht oder geflüchtet, im Wesentlichen auf unbelegte Behauptungen, die mit der Aktenlage in offensichtlichem Widerspruch stehen. Soweit er im vorliegenden Verfahren gegen die Annahme der Fluchtgefahr geltend macht, er habe im Frühling 2001 mehrere Beziehungsurlaube zu Hause bei seiner Familie verbracht, ohne zu flüchten oder unterzutauchen, handelt es sich um erstmals in der staatsrechtlichen Beschwerde geltend gemachte, und damit neue tatsächliche Vorbringen, die im Verfahren der staatsrechtlichen Beschwerde nicht zulässig sind (vgl. Marc Forster, Staatsrechtliche Beschwerde, in: Thomas Geiser/Peter Münch (Hrsg.), Prozessieren vor Bundesgericht, 2. Aufl. , Basel und Frankfurt a.M. 1998, Rz. 2.14 und 2.50 f. mit Hinweisen; Walter Kälin, Das Verfahren der staatsrechtlichen Beschwerde, 2. Aufl. , Bern 1994, S. 370).</w:t>
      </w:r>
    </w:p>
    <w:p>
      <w:r>
        <w:t>Im Ergebnis hat der Kantonsgerichtspräsident Art. 29 Abs. 3 BV nicht verletzt, indem er entschied, die Erfolgschancen der Verwaltungsgerichtsbeschwerde seien auch in Bezug auf den Antrag, ihn in eine Anstalt für Erstmalige einzuweisen, als gering einzustufen.</w:t>
      </w:r>
    </w:p>
    <w:p>
      <w:r>
        <w:rPr>
          <w:b/>
        </w:rPr>
        <w:t>E. 3</w:t>
      </w:r>
    </w:p>
    <w:p>
      <w:r>
        <w:t>Zusammenfassend erweist sich die staatsrechtliche Beschwerde somit als unbegründet und ist abzuweisen, soweit darauf eingetreten werden kann. Dem Begehren des Beschwerdeführers um Gewährung der unentgeltlichen Rechtspflege für das Verfahren vor Bundesgericht ist zu entsprechen; die Voraussetzungen dazu sind erfüllt ( Art. 152 OG ), wiewohl man daran in Bezug auf das in E. 2c Erwogene Zweifel haben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