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1P.564/2006 vom 1. Februar 2007</w:t>
      </w:r>
    </w:p>
    <w:p>
      <w:r>
        <w:t>Bundesgericht, 2007-02-01, DE</w:t>
      </w:r>
    </w:p>
    <w:p>
      <w:r>
        <w:rPr>
          <w:b/>
        </w:rPr>
        <w:t xml:space="preserve">Quelle: </w:t>
      </w:r>
      <w:r>
        <w:t>https://mcp.opencaselaw.ch/entscheid/bger_1P.564_2006</w:t>
      </w:r>
    </w:p>
    <w:p>
      <w:r>
        <w:t>FR: TF 1P.564/2006 du 1 février 2007</w:t>
      </w:r>
    </w:p>
    <w:p>
      <w:r>
        <w:t>IT: TF 1P.564/2006 del 1 febbraio 2007</w:t>
      </w:r>
    </w:p>
    <w:p>
      <w:pPr>
        <w:pStyle w:val="Heading2"/>
      </w:pPr>
      <w:r>
        <w:t>Regeste</w:t>
      </w:r>
    </w:p>
    <w:p>
      <w:r>
        <w:t>Baubewilligung | Raumplanung und öffentliches Baurecht</w:t>
      </w:r>
    </w:p>
    <w:p>
      <w:pPr>
        <w:pStyle w:val="Heading2"/>
      </w:pPr>
      <w:r>
        <w:t>Erwägungen</w:t>
      </w:r>
    </w:p>
    <w:p>
      <w:r>
        <w:rPr>
          <w:b/>
        </w:rPr>
        <w:t>E. 1</w:t>
      </w:r>
    </w:p>
    <w:p>
      <w:r>
        <w:t>Am 1. Januar 2007 sind die Bundesgesetze vom 17. Juni 2005 über das Bundesgericht (BGG) und über das Bundesverwaltungsgericht (VGG) in Kraft getreten. Da der angefochtene Entscheid vorher ergangen ist, richtet sich das Verfahren in Anwendung von Art. 132 Abs. 1 BGG noch nach dem Bundesgesetz über die Organisation der Bundesrechtspflege vom 16. Dezember 1943 (OG).</w:t>
      </w:r>
    </w:p>
    <w:p>
      <w:r>
        <w:rPr>
          <w:b/>
        </w:rPr>
        <w:t>E. 1.1</w:t>
      </w:r>
    </w:p>
    <w:p>
      <w:r>
        <w:t>Gegen den angefochtenen Entscheid kommt - angesichts von Art. 34 Abs. 1 und 3 RPG in der übergangsrechtlich ebenfalls noch anwendbaren bisherigen Fassung - unbestrittenermassen einzig die staatsrechtliche Beschwerde in Frage. Dieses Rechtsmittel schützt die Träger verfassungsmässiger Rechte gegen Übergriffe der Staatsgewalt. Solche Rechte stehen grundsätzlich nur dem Bürger zu, nicht aber dem Gemeinwesen als Inhaber hoheitlicher Gewalt. Die Rechtsprechung macht allerdings eine Ausnahme, wenn eine öffentlichrechtliche Körperschaft - wie hier - als Grundeigentümerin gleich wie eine Privatperson von einem staatlichen Akt betroffen ist ( BGE 132 I 140 E. 1.3.1 S. 143 mit Hinweisen).</w:t>
      </w:r>
    </w:p>
    <w:p>
      <w:r>
        <w:rPr>
          <w:b/>
        </w:rPr>
        <w:t>E. 1.2</w:t>
      </w:r>
    </w:p>
    <w:p>
      <w:r>
        <w:t>Die staatsrechtliche Beschwerde ist zulässig gegen Endentscheide; Zwischenentscheide sind nur ausnahmsweise selbstständig anfechtbar ( Art. 87 OG ). Der Entscheid des Verwaltungsgerichts bewirkt die Rückweisung der Sache an eine untere kantonale Instanz. Nach der Rechtsprechung sind Rückweisungsentscheide grundsätzlich Zwischenentscheide; anders verhält es sich nur, wenn der unteren Instanz aufgrund des Rückweisungsentscheides kein Spielraum mehr verbleibt ( BGE 129 I 313 E. 3.2 S. 317 mit Hinweisen). In diesem Sinne gelten Entscheide über Teile eines Bauvorhabens, die gewisse Fragen noch offen lassen, selbst dann als Zwischenentscheide, wenn darin bestimmte baurechtliche Fragen endgültig, unter Umständen sogar mit Wirkung gegenüber Dritten beurteilt werden (vgl. BGE 106 Ia 226 E. 2 S. 228, Urteil 1A.130/2005 vom 11. Oktober 2005, E. 3.2 mit weiteren Hinweisen). Der angefochtene Entscheid schliesst das Baubewilligungsverfahren nicht ab. Daher liegt ein Zwischenentscheid im Sinne der dargelegten Rechtsprechung vor.</w:t>
      </w:r>
    </w:p>
    <w:p>
      <w:r>
        <w:rPr>
          <w:b/>
        </w:rPr>
        <w:t>E. 1.3</w:t>
      </w:r>
    </w:p>
    <w:p>
      <w:r>
        <w:t>Für die Anfechtbarkeit des Zwischenentscheids nach Art. 87 Abs. 2 OG bedarf es eines nicht wiedergutzumachenden Nachteils rechtlicher Natur; eine bloss tatsächliche Beeinträchtigung wie beispielsweise die Verlängerung oder Verteuerung des Verfahrens genügt nicht. Der Nachteil ist nur dann rechtlicher Natur, wenn er auch durch einen für den Beschwerdeführer günstigen Endentscheid nicht mehr behoben werden könnte. Dabei ist es nicht nötig, dass sich der Nachteil schon im kantonalen Verfahren durch einen günstigen Endentscheid beheben lässt. Es genügt, wenn er in einem anschliessenden bundesgerichtlichen Verfahren beseitigt werden kann. Diese Regelung bezweckt, dass sich das Bundesgericht als Staatsgerichtshof mit einem Prozess in der Regel nur einmal befassen muss, und zwar erst dann, wenn feststeht, dass der Beschwerdeführer einen endgültigen Nachteil erlitten hat ( BGE 131 III 404 E. 3.3 S. 407 ; 126 I 97 E. 1b S. 100 f.).</w:t>
      </w:r>
    </w:p>
    <w:p>
      <w:r>
        <w:rPr>
          <w:b/>
        </w:rPr>
        <w:t>E. 1.4</w:t>
      </w:r>
    </w:p>
    <w:p>
      <w:r>
        <w:t>Der Beschwerdeführer erachtet es als unsicher, ob er die beantragte Umnutzung im Rahmen des kantonalen Rückweisungsverfahrens überhaupt noch erlangen könne. Insofern muss es jedoch genügen, dass er eine spätere endgültige Verweigerung des Vorhabens anfechten kann (vgl. E. 1.3, hiervor). Nichts anderes kann mit Blick darauf gelten, dass das Projekt schliesslich gestützt auf § 357 PBG /ZH bewilligt werden könnte. Erst bei Vorliegen eines entsprechenden Endentscheids wird zu prüfen sein, ob der Beschwerdeführer dadurch einen Nachteil gegenüber einer ordentlichen Baubewilligung erleidet, gegen den er sich mit einem Bundesrechtsmittel wehren kann. Es bewirkt keinen nicht wiedergutzumachenden Rechtsnachteil, wenn der Beschwerdeführer diese Fragestellung nicht bereits im vorliegenden Verfahrensstadium aufwerfen kann.</w:t>
      </w:r>
    </w:p>
    <w:p>
      <w:r>
        <w:rPr>
          <w:b/>
        </w:rPr>
        <w:t>E. 2</w:t>
      </w:r>
    </w:p>
    <w:p>
      <w:r>
        <w:t>Nach dem Gesagten ist auf die Beschwerde nicht einzutreten. In Anwendung von Art. 156 Abs. 2 OG sind dem Beschwerdeführer bei diesem Verfahrensausgang keine Gerichtskosten aufzuerlegen. Er hat aber der anwaltlich vertretenen Beschwerdegegnerin eine angemessene Parteientschädigung auszurichten (vgl.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