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1P.561/2001 vom 31. Oktober 2001</w:t>
      </w:r>
    </w:p>
    <w:p>
      <w:r>
        <w:t>Bundesgericht, 2001-10-31, DE</w:t>
      </w:r>
    </w:p>
    <w:p>
      <w:r>
        <w:rPr>
          <w:b/>
        </w:rPr>
        <w:t xml:space="preserve">Quelle: </w:t>
      </w:r>
      <w:r>
        <w:t>https://mcp.opencaselaw.ch/entscheid/bger_1P.561_2001</w:t>
      </w:r>
    </w:p>
    <w:p>
      <w:r>
        <w:t>FR: TF 1P.561/2001 du 31 octobre 2001</w:t>
      </w:r>
    </w:p>
    <w:p>
      <w:r>
        <w:t>IT: TF 1P.561/2001 del 31 ottobre 2001</w:t>
      </w:r>
    </w:p>
    <w:p>
      <w:pPr>
        <w:pStyle w:val="Heading2"/>
      </w:pPr>
      <w:r>
        <w:t>Regeste</w:t>
      </w:r>
    </w:p>
    <w:p>
      <w:r>
        <w:t>Zuständigkeitsfragen, Garantie des Wohnsitzrichters und des v...</w:t>
      </w:r>
    </w:p>
    <w:p>
      <w:pPr>
        <w:pStyle w:val="Heading2"/>
      </w:pPr>
      <w:r>
        <w:t>Erwägungen</w:t>
      </w:r>
    </w:p>
    <w:p>
      <w:r>
        <w:rPr>
          <w:b/>
        </w:rPr>
        <w:t>E. 1</w:t>
      </w:r>
    </w:p>
    <w:p>
      <w:r>
        <w:t>März 2000 in Kraft stehenden Fassung) ist gegen selbstständig eröffnete Vor- und Zwischenentscheide über Ausstandsbegehren die staatsrechtliche Beschwerde zulässig. Diese Entscheide können später nicht mehr angefochten werden. Der Beschwerdeführer hat daher die Befangenheitsrüge zu Recht gegen den Zwischenentscheid vom 3. September 2001 erhoben. b) Der Beschwerdeführer beanstandet mit umfangreichen Ausführungen verschiedene prozessuale Anordnungen der Untersuchungsbehörden und des Wirtschaftsstrafgerichts, um damit die Verletzung seines verfassungs- und konventionsmässigen Anspruchs auf einen unabhängigen und unvoreingenommenen Richter zu begründen. Seine Ausführungen sind jedoch offensichtlich nicht geeignet, grobe Fehlentscheidungen darzutun, die allein einen Ausstandsgrund bilden können ( BGE 116 Ia 135 E. 3a S. 138), so dass sich die Beschwerde als unbegründet erweist, soweit auf sie gemäss Art. 90 Abs. 1 lit. b OG eingetreten werden kann. Eine staatsrechtliche Beschwerde wegen Verletzung der Garantie eines unabhängigen und unvoreingenommenen Richters dient zudem nicht dazu, Zwischenentscheide, gegen die sie nach Art. 87 OG nicht zulässig ist, auf einem Umweg doch anzufechten, weshalb, soweit dies der Fall ist, auf die Beschwerde von vornherein nicht einzutreten ist.</w:t>
      </w:r>
    </w:p>
    <w:p>
      <w:r>
        <w:rPr>
          <w:b/>
        </w:rPr>
        <w:t>E. 2</w:t>
      </w:r>
    </w:p>
    <w:p>
      <w:r>
        <w:t>Demnach ist die staatsrechtliche Beschwerde abzuweisen, soweit darauf eingetreten werden kann. Dem Gesuch des Beschwerdeführers um unentgeltliche Rechtspflege kann nicht entsprochen werden, da die in der Beschwerde vorgetragenen Rügen von vornherein aussichtslos waren ( Art. 152 OG ). Dem Ausgang des Verfahrens entsprechend hat der Beschwerdeführer die bundesgerichtlichen Kosten zu tragen ( Art. 156 Abs. 1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