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1P.55/2004 vom 17. Februar 2004</w:t>
      </w:r>
    </w:p>
    <w:p>
      <w:r>
        <w:t>Bundesgericht, 2004-02-17, DE</w:t>
      </w:r>
    </w:p>
    <w:p>
      <w:r>
        <w:rPr>
          <w:b/>
        </w:rPr>
        <w:t xml:space="preserve">Quelle: </w:t>
      </w:r>
      <w:r>
        <w:t>https://mcp.opencaselaw.ch/entscheid/bger_1P.55_2004</w:t>
      </w:r>
    </w:p>
    <w:p>
      <w:r>
        <w:t>FR: TF 1P.55/2004 du 17 février 2004</w:t>
      </w:r>
    </w:p>
    <w:p>
      <w:r>
        <w:t>IT: TF 1P.55/2004 del 17 febbraio 2004</w:t>
      </w:r>
    </w:p>
    <w:p>
      <w:pPr>
        <w:pStyle w:val="Heading2"/>
      </w:pPr>
      <w:r>
        <w:t>Erwägungen</w:t>
      </w:r>
    </w:p>
    <w:p>
      <w:r>
        <w:rPr>
          <w:b/>
        </w:rPr>
        <w:t>E. 1.1</w:t>
      </w:r>
    </w:p>
    <w:p>
      <w:r>
        <w:t>Die Legitimation zur staatsrechtlichen Beschwerde setzt die persönliche Betroffenheit des Beschwerdeführers in eigenen rechtlich geschützten Positionen voraus ( Art. 88 OG ).</w:t>
      </w:r>
    </w:p>
    <w:p>
      <w:r>
        <w:t>Nach der Praxis des Bundesgerichts ist der durch eine angeblich strafbare Handlung Geschädigte grundsätzlich nicht legitimiert, gegen die Einstellung eines Strafverfahrens oder gegen ein freisprechendes Urteil staatsrechtliche Beschwerde zu erheben. Der Geschädigte hat an der Verfolgung und Bestrafung des Täters nur ein tatsächliches oder mittelbares Interesse im Sinne der Rechtsprechung zu Art. 88 OG . Der Strafanspruch, um den es im Strafverfahren geht, steht ausschliesslich dem Staat zu, und zwar unabhängig davon, ob der Geschädigte als Privatstrafkläger auftritt oder die eingeklagte Handlung auf seinen Antrag hin verfolgt wird. Unbekümmert um die fehlende Legitimation in der Sache selbst ist der Geschädigte aber befugt, mit staatsrechtlicher Beschwerde die Verletzung von Verfahrensrechten geltend zu machen, deren Missachtung eine formelle Rechtsverweigerung darstellt. Das nach Art. 88 OG erforderliche rechtlich geschützte Interesse ergibt sich diesfalls nicht aus einer Berechtigung in der Sache, sondern aus der Berechtigung, am Verfahren teilzunehmen. Ist der Beschwerdeführer in diesem Sinne nach kantonalem Recht Partei, kann er die Verletzung jener Parteirechte rügen, die ihm nach dem kantonalen Verfahrensrecht oder unmittelbar aufgrund der Bundesverfassung zustehen ( BGE 128 I 218 E. 1.1). Er kann beispielsweise geltend machen, auf ein Rechtsmittel sei zu Unrecht nicht eingetreten worden, er sei nicht angehört worden, habe keine Gelegenheit erhalten, Beweisanträge zu stellen, oder habe nicht Akteneinsicht nehmen können. Hingegen kann er weder die Würdigung der beantragten Beweise noch die Tatsache rügen, dass seine Anträge wegen Unerheblichkeit oder aufgrund antizipierter Beweiswürdigung abgelehnt wurden. Die Beurteilung dieser Fragen kann von der Prüfung der materiellen Sache nicht getrennt werden. Auf eine solche hat der in der Sache selbst nicht Legitimierte jedoch keinen Anspruch ( BGE 120 Ia 157 E. 2a/bb mit Hinweisen).</w:t>
      </w:r>
    </w:p>
    <w:p>
      <w:r>
        <w:rPr>
          <w:b/>
        </w:rPr>
        <w:t>E. 1.2</w:t>
      </w:r>
    </w:p>
    <w:p>
      <w:r>
        <w:t>Etwas anderes gilt für das Opfer im Sinne von Art. 2 Abs. 1 OHG . Gemäss Art. 8 Abs. 1 lit. b OHG kann das Opfer den Entscheid eines Gerichts verlangen, wenn das Verfahren eingestellt wird. Es kann nach Art. 8 Abs. 1 lit. c OHG den betreffenden Gerichtsentscheid mit den gleichen Rechtsmitteln anfechten wie der Beschuldigte, wenn es sich bereits vorher am Verfahren beteiligt hat und soweit der Entscheid seine Zivilansprüche betrifft oder sich auf deren Beurteilung auswirken kann. Art. 8 Abs. 1 lit. c OHG geht Art. 88 OG als "lex specialis" vor. Die Legitimation des Opfers zur staatsrechtlichen Beschwerde ist insoweit auf materiellrechtliche Fragen erweitert ( BGE 128 I 218 E. 1.1 mit Hinweisen).</w:t>
      </w:r>
    </w:p>
    <w:p>
      <w:r>
        <w:rPr>
          <w:b/>
        </w:rPr>
        <w:t>E. 1.3</w:t>
      </w:r>
    </w:p>
    <w:p>
      <w:r>
        <w:t>Gemäss Art. 2 Abs. 1 OHG ist Opfer, wer durch eine Straftat in seiner körperlichen, sexuellen oder psychischen Integrität unmittelbar beeinträchtigt worden ist, unabhängig davon, ob der Täter ermittelt worden ist und ob er sich schuldhaft verhalten hat.</w:t>
      </w:r>
    </w:p>
    <w:p>
      <w:r>
        <w:t>Eine unmittelbare Beeinträchtigung der Integrität im Sinne von Art. 2 Abs. 1 OHG fehlt bei reinen Vermögensdelikten. Mit der gesetzlichen Beschränkung auf "unmittelbare" Eingriffe sollen namentlich reine Vermögensdelikte wie Diebstahl oder Betrug von der Opferhilfe ausgenommen werden ( BGE 120 Ia 157 E. 2d/aa S. 162; vgl. Botschaft zum Opferhilfegesetz vom 25. April 1990, BBl 1990 II 977).</w:t>
      </w:r>
    </w:p>
    <w:p>
      <w:r>
        <w:t>Bei den von der Beschwerdeführerin behaupteten Vorfällen ist eine unmittelbare Beeinträchtigung der psychischen Integrität nicht ersichtlich. Die Beschwerdeführerin behauptet dies auch nicht. Es stehen vielmehr Vermögensinteressen im Vordergrund.</w:t>
      </w:r>
    </w:p>
    <w:p>
      <w:r>
        <w:rPr>
          <w:b/>
        </w:rPr>
        <w:t>E. 1.4</w:t>
      </w:r>
    </w:p>
    <w:p>
      <w:r>
        <w:t>Somit kann der Beschwerdeführerin keine gegenüber der Praxis zu Art. 88 OG erweiterte Legitimation zuerkannt werden. Auf die Beschwerde ist daher nicht einzutreten, da - soweit überhaupt den Begründungsanforderungen von Art. 90 Abs. 1 lit. b OG genügend - einzig die Beweiswürdigung des Obergerichts beanstandet wird.</w:t>
      </w:r>
    </w:p>
    <w:p>
      <w:r>
        <w:rPr>
          <w:b/>
        </w:rPr>
        <w:t>E. 2</w:t>
      </w:r>
    </w:p>
    <w:p>
      <w:r>
        <w:t>Bei diesem Verfahrensausgang hat die Beschwerdeführerin die bundesgerichtlichen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