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1P.550/2006 vom 3. Januar 2007</w:t>
      </w:r>
    </w:p>
    <w:p>
      <w:r>
        <w:t>Bundesgericht, 2007-01-03, DE</w:t>
      </w:r>
    </w:p>
    <w:p>
      <w:r>
        <w:rPr>
          <w:b/>
        </w:rPr>
        <w:t xml:space="preserve">Quelle: </w:t>
      </w:r>
      <w:r>
        <w:t>https://mcp.opencaselaw.ch/entscheid/bger_1P.550_2006</w:t>
      </w:r>
    </w:p>
    <w:p>
      <w:r>
        <w:t>FR: TF 1P.550/2006 du 3 janvier 2007</w:t>
      </w:r>
    </w:p>
    <w:p>
      <w:r>
        <w:t>IT: TF 1P.550/2006 del 3 gennaio 2007</w:t>
      </w:r>
    </w:p>
    <w:p>
      <w:pPr>
        <w:pStyle w:val="Heading2"/>
      </w:pPr>
      <w:r>
        <w:t>Erwägungen</w:t>
      </w:r>
    </w:p>
    <w:p>
      <w:r>
        <w:rPr>
          <w:b/>
        </w:rPr>
        <w:t>E. 1.1</w:t>
      </w:r>
    </w:p>
    <w:p>
      <w:r>
        <w:t>Der angefochtene Beschluss der Einwohnergemeindeversammlung kann mit keinem kantonalen Rechtsmittel angefochten werden, stellt einen kantonal letztinstanzlichen Entscheid gemäss Art. 86 Abs. 1 OG dar und unterliegt somit direkt der staatsrechtlichen Beschwerde (vgl. § 16 Abs. 1 Satz 2 des Gesetzes über das Kantons- und Gemeindebürgerrecht [KBüG]; nicht veröffentlichte E. 1 von BGE 132 I 196 ).</w:t>
      </w:r>
    </w:p>
    <w:p>
      <w:r>
        <w:t>Die Einwohnergemeindeversammlung hat ihren Beschluss am 29. Juni 2006 getroffen. Er wurde (zusammen mit den andern Beschlüssen) am 4. Juli 2006 im Reussbote - mit dem Hinweis, dass ein Referendum ausgeschlossen sei - publiziert. Bei dieser Sachlage erweist sich die Beschwerde vom 4. September 2006 gemäss Art. 89 OG als rechtzeitig.</w:t>
      </w:r>
    </w:p>
    <w:p>
      <w:r>
        <w:rPr>
          <w:b/>
        </w:rPr>
        <w:t>E. 1.2</w:t>
      </w:r>
    </w:p>
    <w:p>
      <w:r>
        <w:t>Der Beschwerdeführer macht nicht geltend, dass er nach dem kantonalen Bürgerrechtsgesetz einen Anspruch auf Einbürgerung habe. Für die Bejahung seiner Legitimation muss er daher in unmittelbar durch die Bundesverfassung geschützten Interessen betroffen sein. Die Legitimation ergibt sich bei Anrufung spezieller Verfassungsrechte bereits aus der Grundrechtsträgerschaft und dem Inhalt der als verletzt gerügten Verfassungsrechte ( BGE 132 I 167 E. 2 S. 168, mit Hinweisen). Das trifft auf die Rügen zu, der angefochtene Beschluss verletze das Diskriminierungsverbot und das Gebot der Geschlechtergleichbehandlung gemäss Art. 8 Abs. 2 und 3 BV . Hingegen legitimiert diese Parteistellung nicht zur Rüge, der angefochtene Entscheid sei materiell unzutreffend ( BGE 132 I 167 E. 2.1 S. 168).</w:t>
      </w:r>
    </w:p>
    <w:p>
      <w:r>
        <w:t>In diesem Rahmen ist auf die Beschwerde einzutreten.</w:t>
      </w:r>
    </w:p>
    <w:p>
      <w:r>
        <w:rPr>
          <w:b/>
        </w:rPr>
        <w:t>E. 2</w:t>
      </w:r>
    </w:p>
    <w:p>
      <w:r>
        <w:t>Der Beschwerdeführer macht in erster Linie eine Verletzung des Diskriminierungsverbotes nach Art. 8 Abs. 2 BV geltend. Hingegen rügt er nicht, der Einwohnergemeindebeschluss enthalte keine bzw. keine rechtsgenügliche Begründung im Sinne von Art. 29 Abs. 2 BV (vgl. BGE 132 I 196 ).</w:t>
      </w:r>
    </w:p>
    <w:p>
      <w:r>
        <w:t>Gemäss Art. 8 Abs. 2 BV darf niemand diskriminiert werden, namentlich nicht wegen seiner Herkunft, Rasse und der religiösen, weltanschaulichen oder politischen Überzeugung.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132 I 167 E. 3 S. 169, 129 I 217 E. 2.1 S. 223, mit Hinweisen auf Rechtsprechung und Doktrin).</w:t>
      </w:r>
    </w:p>
    <w:p>
      <w:r>
        <w:rPr>
          <w:b/>
        </w:rPr>
        <w:t>E. 3.1</w:t>
      </w:r>
    </w:p>
    <w:p>
      <w:r>
        <w:t>Anlässlich der Einwohnergemeindeversammlung sprachen sich verschiedene Bürger gegen die Einbürgerung des Beschwerdeführers aus. Diese Voten lassen sich folgendermassen zusammenfassen: In früheren Jahren seien für den Fall der Nichteinbürgerung Drohungen ausgesprochen worden; es wird auf die Nichtbeachtung der schweizerischen Rechtsordnung beispielsweise durch Verkehrsübertretungen hingewiesen; anlässlich der Beerdigung von E.________ sei ein diskriminierender Umgang mit den Frauen festgestellt worden; der Beschwerdeführer sei früher in eine Messerstecherei mit einem Landsmann verwickelt worden; eine vor vier Jahren festgestellte Kriminalität könne heute - trotz Löschung im Strafregister - nicht zur Einbürgerung führen. Auf einzelne dieser Wortmeldungen antwortete der Gemeindeammann.</w:t>
      </w:r>
    </w:p>
    <w:p>
      <w:r>
        <w:t>Im Rahmen der Behandlung der Diskriminierungsrüge ist, wie dargetan, nicht zu prüfen, ob die vorgebrachten Gründe zutreffen. Es ist daher unerheblich, ob die Vorbringen im Einzelnen zutreffen. Aus den wiedergegebenen Voten kann entgegen der in der Beschwerdeschrift vertretenen Auffassung nicht auf eine Diskriminierung des Beschwerdeführers wegen seiner Herkunft geschlossen werden. Die Vorbringen sind vielmehr neutral gehalten und lassen keine auf Religion, Rasse oder Herkunft beruhende qualifizierte Ungleichbehandlung von Personen in vergleichbaren Situationen schliessen. Die Einwohnergemeindeversammlung hat denn auch gleichentags der Tochter C.________ das Gemeindebürgerrecht zugesprochen und in den letzten Jahren manche Gesuche von Personen aus Ex-Jugoslawien gutgeheissen, wie die Gemeinde in ihrer Vernehmlassung festhält. Die Rüge der Verletzung von Art. 8 Abs. 2 BV erweist sich daher als unbegründet.</w:t>
      </w:r>
    </w:p>
    <w:p>
      <w:r>
        <w:rPr>
          <w:b/>
        </w:rPr>
        <w:t>E. 3.2</w:t>
      </w:r>
    </w:p>
    <w:p>
      <w:r>
        <w:t>Unbegründet ist auch die Rüge der Verletzung des Gebotes der Geschlechtergleichheit gemäss Art. 8 Abs. 3 BV . Allein der Umstand, dass die Tochter C.________ eingebürgert worden ist, stellt keine auf das Geschlecht zurückzuführende Ungleichbehandlung dar.</w:t>
      </w:r>
    </w:p>
    <w:p>
      <w:r>
        <w:rPr>
          <w:b/>
        </w:rPr>
        <w:t>E. 4</w:t>
      </w:r>
    </w:p>
    <w:p>
      <w:r>
        <w:t>Die Beschwerde ist demnach als unbegründet abzuweisen.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